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00" w:beforeAutospacing="1" w:after="100" w:afterAutospacing="1"/>
        <w:jc w:val="center"/>
        <w:textAlignment w:val="auto"/>
        <w:rPr>
          <w:rFonts w:hint="eastAsia"/>
          <w:b/>
          <w:color w:val="FF0000"/>
          <w:spacing w:val="-20"/>
          <w:sz w:val="52"/>
          <w:szCs w:val="52"/>
          <w:lang w:eastAsia="zh-CN"/>
        </w:rPr>
      </w:pPr>
      <w:r>
        <w:rPr>
          <w:rFonts w:hint="eastAsia"/>
          <w:b/>
          <w:color w:val="FF0000"/>
          <w:spacing w:val="-20"/>
          <w:sz w:val="52"/>
          <w:szCs w:val="52"/>
          <w:lang w:eastAsia="zh-CN"/>
        </w:rPr>
        <w:t>泉</w:t>
      </w:r>
      <w:r>
        <w:rPr>
          <w:rFonts w:hint="eastAsia"/>
          <w:b/>
          <w:color w:val="FF0000"/>
          <w:spacing w:val="-20"/>
          <w:sz w:val="52"/>
          <w:szCs w:val="52"/>
          <w:lang w:val="en-US" w:eastAsia="zh-CN"/>
        </w:rPr>
        <w:t xml:space="preserve"> </w:t>
      </w:r>
      <w:r>
        <w:rPr>
          <w:rFonts w:hint="eastAsia"/>
          <w:b/>
          <w:color w:val="FF0000"/>
          <w:spacing w:val="-20"/>
          <w:sz w:val="52"/>
          <w:szCs w:val="52"/>
          <w:lang w:eastAsia="zh-CN"/>
        </w:rPr>
        <w:t>州</w:t>
      </w:r>
      <w:r>
        <w:rPr>
          <w:rFonts w:hint="eastAsia"/>
          <w:b/>
          <w:color w:val="FF0000"/>
          <w:spacing w:val="-20"/>
          <w:sz w:val="52"/>
          <w:szCs w:val="52"/>
          <w:lang w:val="en-US" w:eastAsia="zh-CN"/>
        </w:rPr>
        <w:t xml:space="preserve"> </w:t>
      </w:r>
      <w:r>
        <w:rPr>
          <w:rFonts w:hint="eastAsia"/>
          <w:b/>
          <w:color w:val="FF0000"/>
          <w:spacing w:val="-20"/>
          <w:sz w:val="52"/>
          <w:szCs w:val="52"/>
          <w:lang w:eastAsia="zh-CN"/>
        </w:rPr>
        <w:t>师</w:t>
      </w:r>
      <w:r>
        <w:rPr>
          <w:rFonts w:hint="eastAsia"/>
          <w:b/>
          <w:color w:val="FF0000"/>
          <w:spacing w:val="-20"/>
          <w:sz w:val="52"/>
          <w:szCs w:val="52"/>
          <w:lang w:val="en-US" w:eastAsia="zh-CN"/>
        </w:rPr>
        <w:t xml:space="preserve"> </w:t>
      </w:r>
      <w:r>
        <w:rPr>
          <w:rFonts w:hint="eastAsia"/>
          <w:b/>
          <w:color w:val="FF0000"/>
          <w:spacing w:val="-20"/>
          <w:sz w:val="52"/>
          <w:szCs w:val="52"/>
          <w:lang w:eastAsia="zh-CN"/>
        </w:rPr>
        <w:t>范</w:t>
      </w:r>
      <w:r>
        <w:rPr>
          <w:rFonts w:hint="eastAsia"/>
          <w:b/>
          <w:color w:val="FF0000"/>
          <w:spacing w:val="-20"/>
          <w:sz w:val="52"/>
          <w:szCs w:val="52"/>
          <w:lang w:val="en-US" w:eastAsia="zh-CN"/>
        </w:rPr>
        <w:t xml:space="preserve"> </w:t>
      </w:r>
      <w:r>
        <w:rPr>
          <w:rFonts w:hint="eastAsia"/>
          <w:b/>
          <w:color w:val="FF0000"/>
          <w:spacing w:val="-20"/>
          <w:sz w:val="52"/>
          <w:szCs w:val="52"/>
          <w:lang w:eastAsia="zh-CN"/>
        </w:rPr>
        <w:t>学</w:t>
      </w:r>
      <w:r>
        <w:rPr>
          <w:rFonts w:hint="eastAsia"/>
          <w:b/>
          <w:color w:val="FF0000"/>
          <w:spacing w:val="-20"/>
          <w:sz w:val="52"/>
          <w:szCs w:val="52"/>
          <w:lang w:val="en-US" w:eastAsia="zh-CN"/>
        </w:rPr>
        <w:t xml:space="preserve"> </w:t>
      </w:r>
      <w:r>
        <w:rPr>
          <w:rFonts w:hint="eastAsia"/>
          <w:b/>
          <w:color w:val="FF0000"/>
          <w:spacing w:val="-20"/>
          <w:sz w:val="52"/>
          <w:szCs w:val="52"/>
          <w:lang w:eastAsia="zh-CN"/>
        </w:rPr>
        <w:t>院</w:t>
      </w:r>
      <w:r>
        <w:rPr>
          <w:rFonts w:hint="eastAsia"/>
          <w:b/>
          <w:color w:val="FF0000"/>
          <w:spacing w:val="-20"/>
          <w:sz w:val="52"/>
          <w:szCs w:val="52"/>
          <w:lang w:val="en-US" w:eastAsia="zh-CN"/>
        </w:rPr>
        <w:t xml:space="preserve"> </w:t>
      </w:r>
      <w:r>
        <w:rPr>
          <w:rFonts w:hint="eastAsia"/>
          <w:b/>
          <w:color w:val="FF0000"/>
          <w:spacing w:val="-20"/>
          <w:sz w:val="52"/>
          <w:szCs w:val="52"/>
          <w:lang w:eastAsia="zh-CN"/>
        </w:rPr>
        <w:t>教</w:t>
      </w:r>
      <w:r>
        <w:rPr>
          <w:rFonts w:hint="eastAsia"/>
          <w:b/>
          <w:color w:val="FF0000"/>
          <w:spacing w:val="-20"/>
          <w:sz w:val="52"/>
          <w:szCs w:val="52"/>
          <w:lang w:val="en-US" w:eastAsia="zh-CN"/>
        </w:rPr>
        <w:t xml:space="preserve"> </w:t>
      </w:r>
      <w:r>
        <w:rPr>
          <w:rFonts w:hint="eastAsia"/>
          <w:b/>
          <w:color w:val="FF0000"/>
          <w:spacing w:val="-20"/>
          <w:sz w:val="52"/>
          <w:szCs w:val="52"/>
          <w:lang w:eastAsia="zh-CN"/>
        </w:rPr>
        <w:t>育</w:t>
      </w:r>
      <w:r>
        <w:rPr>
          <w:rFonts w:hint="eastAsia"/>
          <w:b/>
          <w:color w:val="FF0000"/>
          <w:spacing w:val="-20"/>
          <w:sz w:val="52"/>
          <w:szCs w:val="52"/>
          <w:lang w:val="en-US" w:eastAsia="zh-CN"/>
        </w:rPr>
        <w:t xml:space="preserve"> </w:t>
      </w:r>
      <w:r>
        <w:rPr>
          <w:rFonts w:hint="eastAsia"/>
          <w:b/>
          <w:color w:val="FF0000"/>
          <w:spacing w:val="-20"/>
          <w:sz w:val="52"/>
          <w:szCs w:val="52"/>
          <w:lang w:eastAsia="zh-CN"/>
        </w:rPr>
        <w:t>发</w:t>
      </w:r>
      <w:r>
        <w:rPr>
          <w:rFonts w:hint="eastAsia"/>
          <w:b/>
          <w:color w:val="FF0000"/>
          <w:spacing w:val="-20"/>
          <w:sz w:val="52"/>
          <w:szCs w:val="52"/>
          <w:lang w:val="en-US" w:eastAsia="zh-CN"/>
        </w:rPr>
        <w:t xml:space="preserve"> </w:t>
      </w:r>
      <w:r>
        <w:rPr>
          <w:rFonts w:hint="eastAsia"/>
          <w:b/>
          <w:color w:val="FF0000"/>
          <w:spacing w:val="-20"/>
          <w:sz w:val="52"/>
          <w:szCs w:val="52"/>
          <w:lang w:eastAsia="zh-CN"/>
        </w:rPr>
        <w:t>展</w:t>
      </w:r>
      <w:r>
        <w:rPr>
          <w:rFonts w:hint="eastAsia"/>
          <w:b/>
          <w:color w:val="FF0000"/>
          <w:spacing w:val="-20"/>
          <w:sz w:val="52"/>
          <w:szCs w:val="52"/>
          <w:lang w:val="en-US" w:eastAsia="zh-CN"/>
        </w:rPr>
        <w:t xml:space="preserve"> </w:t>
      </w:r>
      <w:r>
        <w:rPr>
          <w:rFonts w:hint="eastAsia"/>
          <w:b/>
          <w:color w:val="FF0000"/>
          <w:spacing w:val="-20"/>
          <w:sz w:val="52"/>
          <w:szCs w:val="52"/>
          <w:lang w:eastAsia="zh-CN"/>
        </w:rPr>
        <w:t>基</w:t>
      </w:r>
      <w:r>
        <w:rPr>
          <w:rFonts w:hint="eastAsia"/>
          <w:b/>
          <w:color w:val="FF0000"/>
          <w:spacing w:val="-20"/>
          <w:sz w:val="52"/>
          <w:szCs w:val="52"/>
          <w:lang w:val="en-US" w:eastAsia="zh-CN"/>
        </w:rPr>
        <w:t xml:space="preserve"> </w:t>
      </w:r>
      <w:r>
        <w:rPr>
          <w:rFonts w:hint="eastAsia"/>
          <w:b/>
          <w:color w:val="FF0000"/>
          <w:spacing w:val="-20"/>
          <w:sz w:val="52"/>
          <w:szCs w:val="52"/>
          <w:lang w:eastAsia="zh-CN"/>
        </w:rPr>
        <w:t>金</w:t>
      </w:r>
      <w:r>
        <w:rPr>
          <w:rFonts w:hint="eastAsia"/>
          <w:b/>
          <w:color w:val="FF0000"/>
          <w:spacing w:val="-20"/>
          <w:sz w:val="52"/>
          <w:szCs w:val="52"/>
          <w:lang w:val="en-US" w:eastAsia="zh-CN"/>
        </w:rPr>
        <w:t xml:space="preserve"> </w:t>
      </w:r>
      <w:r>
        <w:rPr>
          <w:rFonts w:hint="eastAsia"/>
          <w:b/>
          <w:color w:val="FF0000"/>
          <w:spacing w:val="-20"/>
          <w:sz w:val="52"/>
          <w:szCs w:val="52"/>
          <w:lang w:eastAsia="zh-CN"/>
        </w:rPr>
        <w:t>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default" w:eastAsia="宋体"/>
          <w:b/>
          <w:szCs w:val="32"/>
          <w:lang w:val="en-US" w:eastAsia="zh-CN"/>
        </w:rPr>
      </w:pPr>
      <w:r>
        <w:rPr>
          <w:b/>
          <w:color w:val="FF0000"/>
          <w:u w:val="thick"/>
        </w:rPr>
        <w:t xml:space="preserve">                                                                                </w:t>
      </w:r>
      <w:r>
        <w:rPr>
          <w:rFonts w:hint="eastAsia"/>
          <w:b/>
          <w:color w:val="FF0000"/>
          <w:u w:val="thick"/>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ascii="宋体" w:hAnsi="宋体" w:eastAsia="宋体"/>
          <w:b/>
          <w:sz w:val="44"/>
          <w:szCs w:val="44"/>
        </w:rPr>
      </w:pPr>
    </w:p>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eastAsia="zh-CN"/>
        </w:rPr>
        <w:t>泉州师范学院</w:t>
      </w:r>
      <w:r>
        <w:rPr>
          <w:rFonts w:hint="eastAsia" w:ascii="方正小标宋简体" w:hAnsi="方正小标宋简体" w:eastAsia="方正小标宋简体" w:cs="方正小标宋简体"/>
          <w:b w:val="0"/>
          <w:bCs/>
          <w:sz w:val="44"/>
          <w:szCs w:val="44"/>
        </w:rPr>
        <w:t>教育发展基金会</w:t>
      </w:r>
      <w:r>
        <w:rPr>
          <w:rFonts w:hint="eastAsia" w:ascii="方正小标宋简体" w:hAnsi="方正小标宋简体" w:eastAsia="方正小标宋简体" w:cs="方正小标宋简体"/>
          <w:b w:val="0"/>
          <w:bCs/>
          <w:sz w:val="44"/>
          <w:szCs w:val="44"/>
          <w:lang w:val="en-US" w:eastAsia="zh-CN"/>
        </w:rPr>
        <w:t>项目管理制度</w:t>
      </w:r>
    </w:p>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b/>
          <w:color w:val="000000"/>
          <w:kern w:val="0"/>
          <w:sz w:val="32"/>
          <w:szCs w:val="32"/>
        </w:rPr>
      </w:pPr>
    </w:p>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color w:val="000000"/>
          <w:kern w:val="0"/>
          <w:sz w:val="32"/>
          <w:szCs w:val="32"/>
        </w:rPr>
        <w:t>第一章 总则</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第一条 为了科学有效地组织、管理和监督泉州师范学院教育发展基金会（以下简称“基金会”）的各项资助项目的实施，根据《基金会管理条例》和《泉州师范学院教育发展基金会章程》（以下简称“章程”）制定本制度。</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第二条 适用于本制度的资助项目涵盖所有进入基金会账户的资助项目，具体包括：</w:t>
      </w:r>
    </w:p>
    <w:p>
      <w:pPr>
        <w:keepNext w:val="0"/>
        <w:keepLines w:val="0"/>
        <w:pageBreakBefore w:val="0"/>
        <w:widowControl/>
        <w:kinsoku/>
        <w:wordWrap/>
        <w:overflowPunct/>
        <w:topLinePunct w:val="0"/>
        <w:autoSpaceDE/>
        <w:autoSpaceDN/>
        <w:bidi w:val="0"/>
        <w:adjustRightInd/>
        <w:snapToGrid w:val="0"/>
        <w:spacing w:line="560" w:lineRule="exact"/>
        <w:ind w:firstLine="480" w:firstLineChars="150"/>
        <w:jc w:val="left"/>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（一）支持泉州师范学院教育事业发展：</w:t>
      </w:r>
      <w:r>
        <w:rPr>
          <w:rFonts w:hint="eastAsia" w:ascii="仿宋_GB2312" w:hAnsi="仿宋" w:eastAsia="仿宋_GB2312"/>
          <w:color w:val="000000"/>
          <w:sz w:val="32"/>
          <w:szCs w:val="32"/>
        </w:rPr>
        <w:t>资助贫困学生；资助重大研究和开发项目；奖励本校教师；奖励和资助品学兼优的在校学生</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改善办学设施和条件，包括校园基本建设、仪器设备采购、图书资料购置</w:t>
      </w:r>
      <w:r>
        <w:rPr>
          <w:rFonts w:hint="eastAsia" w:ascii="仿宋_GB2312" w:hAnsi="宋体" w:eastAsia="仿宋_GB2312" w:cs="Times New Roman"/>
          <w:sz w:val="32"/>
          <w:szCs w:val="32"/>
          <w:lang w:val="en-US" w:eastAsia="zh-CN"/>
        </w:rPr>
        <w:t>等领域；</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（二）开展按照捐赠者意愿设立的、与泉州师范学院教育事业发展相关的资助项目。</w:t>
      </w:r>
    </w:p>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b/>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b/>
          <w:color w:val="000000"/>
          <w:kern w:val="0"/>
          <w:sz w:val="32"/>
          <w:szCs w:val="32"/>
          <w:lang w:val="en-US" w:eastAsia="zh-CN"/>
        </w:rPr>
      </w:pPr>
      <w:r>
        <w:rPr>
          <w:rFonts w:hint="eastAsia" w:ascii="仿宋_GB2312" w:hAnsi="仿宋_GB2312" w:eastAsia="仿宋_GB2312" w:cs="仿宋_GB2312"/>
          <w:b/>
          <w:color w:val="000000"/>
          <w:kern w:val="0"/>
          <w:sz w:val="32"/>
          <w:szCs w:val="32"/>
          <w:lang w:val="en-US" w:eastAsia="zh-CN"/>
        </w:rPr>
        <w:t>第二章 项目管理</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color w:val="000000"/>
          <w:kern w:val="0"/>
          <w:sz w:val="32"/>
          <w:szCs w:val="32"/>
          <w:lang w:val="en-US" w:eastAsia="zh-CN"/>
        </w:rPr>
      </w:pPr>
      <w:r>
        <w:rPr>
          <w:rFonts w:hint="default" w:ascii="仿宋_GB2312" w:hAnsi="宋体" w:eastAsia="仿宋_GB2312" w:cs="Times New Roman"/>
          <w:sz w:val="32"/>
          <w:szCs w:val="32"/>
          <w:lang w:val="en-US" w:eastAsia="zh-CN"/>
        </w:rPr>
        <w:t>第</w:t>
      </w:r>
      <w:r>
        <w:rPr>
          <w:rFonts w:hint="eastAsia" w:ascii="仿宋_GB2312" w:hAnsi="宋体" w:eastAsia="仿宋_GB2312" w:cs="Times New Roman"/>
          <w:sz w:val="32"/>
          <w:szCs w:val="32"/>
          <w:lang w:val="en-US" w:eastAsia="zh-CN"/>
        </w:rPr>
        <w:t>三</w:t>
      </w:r>
      <w:r>
        <w:rPr>
          <w:rFonts w:hint="default" w:ascii="仿宋_GB2312" w:hAnsi="宋体" w:eastAsia="仿宋_GB2312" w:cs="Times New Roman"/>
          <w:sz w:val="32"/>
          <w:szCs w:val="32"/>
          <w:lang w:val="en-US" w:eastAsia="zh-CN"/>
        </w:rPr>
        <w:t>条</w:t>
      </w:r>
      <w:r>
        <w:rPr>
          <w:rFonts w:hint="eastAsia" w:ascii="仿宋_GB2312" w:hAnsi="宋体" w:eastAsia="仿宋_GB2312" w:cs="Times New Roman"/>
          <w:sz w:val="32"/>
          <w:szCs w:val="32"/>
          <w:lang w:val="en-US" w:eastAsia="zh-CN"/>
        </w:rPr>
        <w:t xml:space="preserve"> </w:t>
      </w:r>
      <w:r>
        <w:rPr>
          <w:rFonts w:hint="default" w:ascii="仿宋_GB2312" w:hAnsi="宋体" w:eastAsia="仿宋_GB2312" w:cs="Times New Roman"/>
          <w:sz w:val="32"/>
          <w:szCs w:val="32"/>
          <w:lang w:val="en-US" w:eastAsia="zh-CN"/>
        </w:rPr>
        <w:t>在基金会理事会的领导下，基金会秘书处负责管理</w:t>
      </w:r>
      <w:r>
        <w:rPr>
          <w:rFonts w:hint="eastAsia" w:ascii="仿宋_GB2312" w:hAnsi="宋体" w:eastAsia="仿宋_GB2312" w:cs="Times New Roman"/>
          <w:sz w:val="32"/>
          <w:szCs w:val="32"/>
          <w:lang w:val="en-US" w:eastAsia="zh-CN"/>
        </w:rPr>
        <w:t>资助项目</w:t>
      </w:r>
      <w:r>
        <w:rPr>
          <w:rFonts w:hint="default" w:ascii="仿宋_GB2312" w:hAnsi="宋体" w:eastAsia="仿宋_GB2312" w:cs="Times New Roman"/>
          <w:sz w:val="32"/>
          <w:szCs w:val="32"/>
          <w:lang w:val="en-US" w:eastAsia="zh-CN"/>
        </w:rPr>
        <w:t>。</w:t>
      </w:r>
      <w:r>
        <w:rPr>
          <w:rFonts w:hint="default" w:ascii="仿宋_GB2312" w:hAnsi="宋体" w:eastAsia="仿宋_GB2312" w:cs="Times New Roman"/>
          <w:sz w:val="32"/>
          <w:szCs w:val="32"/>
          <w:lang w:val="en-US" w:eastAsia="zh-CN"/>
        </w:rPr>
        <w:br w:type="textWrapping"/>
      </w:r>
      <w:r>
        <w:rPr>
          <w:rFonts w:hint="eastAsia" w:ascii="仿宋_GB2312" w:hAnsi="宋体" w:eastAsia="仿宋_GB2312" w:cs="Times New Roman"/>
          <w:sz w:val="32"/>
          <w:szCs w:val="32"/>
          <w:lang w:val="en-US" w:eastAsia="zh-CN"/>
        </w:rPr>
        <w:t xml:space="preserve">    </w:t>
      </w:r>
      <w:r>
        <w:rPr>
          <w:rFonts w:hint="default" w:ascii="仿宋_GB2312" w:hAnsi="宋体" w:eastAsia="仿宋_GB2312" w:cs="Times New Roman"/>
          <w:sz w:val="32"/>
          <w:szCs w:val="32"/>
          <w:lang w:val="en-US" w:eastAsia="zh-CN"/>
        </w:rPr>
        <w:t>第</w:t>
      </w:r>
      <w:r>
        <w:rPr>
          <w:rFonts w:hint="eastAsia" w:ascii="仿宋_GB2312" w:hAnsi="宋体" w:eastAsia="仿宋_GB2312" w:cs="Times New Roman"/>
          <w:sz w:val="32"/>
          <w:szCs w:val="32"/>
          <w:lang w:val="en-US" w:eastAsia="zh-CN"/>
        </w:rPr>
        <w:t>四</w:t>
      </w:r>
      <w:r>
        <w:rPr>
          <w:rFonts w:hint="default" w:ascii="仿宋_GB2312" w:hAnsi="宋体" w:eastAsia="仿宋_GB2312" w:cs="Times New Roman"/>
          <w:sz w:val="32"/>
          <w:szCs w:val="32"/>
          <w:lang w:val="en-US" w:eastAsia="zh-CN"/>
        </w:rPr>
        <w:t>条 基金会秘书处根据捐赠协议或相关章程（管理办法或实施细则）的规定，对捐赠项目的执行进行有效的指导、监督和管理</w:t>
      </w:r>
      <w:r>
        <w:rPr>
          <w:rFonts w:hint="eastAsia" w:ascii="仿宋_GB2312" w:hAnsi="宋体" w:eastAsia="仿宋_GB2312" w:cs="Times New Roman"/>
          <w:sz w:val="32"/>
          <w:szCs w:val="32"/>
          <w:lang w:val="en-US" w:eastAsia="zh-CN"/>
        </w:rPr>
        <w:t>：</w:t>
      </w:r>
      <w:r>
        <w:rPr>
          <w:rFonts w:hint="default" w:ascii="仿宋_GB2312" w:hAnsi="宋体" w:eastAsia="仿宋_GB2312" w:cs="Times New Roman"/>
          <w:sz w:val="32"/>
          <w:szCs w:val="32"/>
          <w:lang w:val="en-US" w:eastAsia="zh-CN"/>
        </w:rPr>
        <w:br w:type="textWrapping"/>
      </w:r>
      <w:r>
        <w:rPr>
          <w:rFonts w:hint="eastAsia" w:ascii="仿宋_GB2312" w:hAnsi="宋体" w:eastAsia="仿宋_GB2312" w:cs="Times New Roman"/>
          <w:sz w:val="32"/>
          <w:szCs w:val="32"/>
          <w:lang w:val="en-US" w:eastAsia="zh-CN"/>
        </w:rPr>
        <w:t xml:space="preserve">   （一）</w:t>
      </w:r>
      <w:r>
        <w:rPr>
          <w:rFonts w:hint="default" w:ascii="仿宋_GB2312" w:hAnsi="宋体" w:eastAsia="仿宋_GB2312" w:cs="Times New Roman"/>
          <w:sz w:val="32"/>
          <w:szCs w:val="32"/>
          <w:lang w:val="en-US" w:eastAsia="zh-CN"/>
        </w:rPr>
        <w:t>按照捐赠项目性质单独立项，并对捐赠资金单独核算，专款专用。</w:t>
      </w:r>
      <w:r>
        <w:rPr>
          <w:rFonts w:hint="default" w:ascii="仿宋_GB2312" w:hAnsi="宋体" w:eastAsia="仿宋_GB2312" w:cs="Times New Roman"/>
          <w:sz w:val="32"/>
          <w:szCs w:val="32"/>
          <w:lang w:val="en-US" w:eastAsia="zh-CN"/>
        </w:rPr>
        <w:br w:type="textWrapping"/>
      </w:r>
      <w:r>
        <w:rPr>
          <w:rFonts w:hint="eastAsia" w:ascii="仿宋_GB2312" w:hAnsi="宋体" w:eastAsia="仿宋_GB2312" w:cs="Times New Roman"/>
          <w:sz w:val="32"/>
          <w:szCs w:val="32"/>
          <w:lang w:val="en-US" w:eastAsia="zh-CN"/>
        </w:rPr>
        <w:t xml:space="preserve">   （二）</w:t>
      </w:r>
      <w:r>
        <w:rPr>
          <w:rFonts w:hint="default" w:ascii="仿宋_GB2312" w:hAnsi="宋体" w:eastAsia="仿宋_GB2312" w:cs="Times New Roman"/>
          <w:sz w:val="32"/>
          <w:szCs w:val="32"/>
          <w:lang w:val="en-US" w:eastAsia="zh-CN"/>
        </w:rPr>
        <w:t>定期对捐赠项目的实施情况进行监督检查，在项目执行中协调捐赠者和具体实施部门的联络沟通，保障捐赠财物的使用效益。</w:t>
      </w:r>
      <w:r>
        <w:rPr>
          <w:rFonts w:hint="default" w:ascii="仿宋_GB2312" w:hAnsi="宋体" w:eastAsia="仿宋_GB2312" w:cs="Times New Roman"/>
          <w:sz w:val="32"/>
          <w:szCs w:val="32"/>
          <w:lang w:val="en-US" w:eastAsia="zh-CN"/>
        </w:rPr>
        <w:br w:type="textWrapping"/>
      </w:r>
      <w:r>
        <w:rPr>
          <w:rFonts w:hint="eastAsia" w:ascii="仿宋_GB2312" w:hAnsi="宋体" w:eastAsia="仿宋_GB2312" w:cs="Times New Roman"/>
          <w:sz w:val="32"/>
          <w:szCs w:val="32"/>
          <w:lang w:val="en-US" w:eastAsia="zh-CN"/>
        </w:rPr>
        <w:t xml:space="preserve">   （三）</w:t>
      </w:r>
      <w:r>
        <w:rPr>
          <w:rFonts w:hint="default" w:ascii="仿宋_GB2312" w:hAnsi="宋体" w:eastAsia="仿宋_GB2312" w:cs="Times New Roman"/>
          <w:sz w:val="32"/>
          <w:szCs w:val="32"/>
          <w:lang w:val="en-US" w:eastAsia="zh-CN"/>
        </w:rPr>
        <w:t>对于因特殊情况需要改变捐赠用途或变更项目实施进程的，应按照“及时沟通、友好协商”的原则妥善处理。</w:t>
      </w:r>
      <w:r>
        <w:rPr>
          <w:rFonts w:hint="default" w:ascii="仿宋_GB2312" w:hAnsi="宋体" w:eastAsia="仿宋_GB2312" w:cs="Times New Roman"/>
          <w:sz w:val="32"/>
          <w:szCs w:val="32"/>
          <w:lang w:val="en-US" w:eastAsia="zh-CN"/>
        </w:rPr>
        <w:br w:type="textWrapping"/>
      </w:r>
      <w:r>
        <w:rPr>
          <w:rFonts w:hint="eastAsia" w:ascii="仿宋_GB2312" w:hAnsi="宋体" w:eastAsia="仿宋_GB2312" w:cs="Times New Roman"/>
          <w:sz w:val="32"/>
          <w:szCs w:val="32"/>
          <w:lang w:val="en-US" w:eastAsia="zh-CN"/>
        </w:rPr>
        <w:t xml:space="preserve">   （四）</w:t>
      </w:r>
      <w:r>
        <w:rPr>
          <w:rFonts w:hint="default" w:ascii="仿宋_GB2312" w:hAnsi="宋体" w:eastAsia="仿宋_GB2312" w:cs="Times New Roman"/>
          <w:sz w:val="32"/>
          <w:szCs w:val="32"/>
          <w:lang w:val="en-US" w:eastAsia="zh-CN"/>
        </w:rPr>
        <w:t>及时向理事会和捐赠者汇报捐赠款项的使用管理和捐赠项目的执行情况。</w:t>
      </w:r>
      <w:r>
        <w:rPr>
          <w:rFonts w:hint="default" w:ascii="仿宋_GB2312" w:hAnsi="宋体" w:eastAsia="仿宋_GB2312" w:cs="Times New Roman"/>
          <w:sz w:val="32"/>
          <w:szCs w:val="32"/>
          <w:lang w:val="en-US" w:eastAsia="zh-CN"/>
        </w:rPr>
        <w:br w:type="textWrapping"/>
      </w:r>
      <w:r>
        <w:rPr>
          <w:rFonts w:hint="eastAsia" w:ascii="仿宋_GB2312" w:hAnsi="宋体" w:eastAsia="仿宋_GB2312" w:cs="Times New Roman"/>
          <w:sz w:val="32"/>
          <w:szCs w:val="32"/>
          <w:lang w:val="en-US" w:eastAsia="zh-CN"/>
        </w:rPr>
        <w:t xml:space="preserve">   （五）</w:t>
      </w:r>
      <w:r>
        <w:rPr>
          <w:rFonts w:hint="default" w:ascii="仿宋_GB2312" w:hAnsi="宋体" w:eastAsia="仿宋_GB2312" w:cs="Times New Roman"/>
          <w:sz w:val="32"/>
          <w:szCs w:val="32"/>
          <w:lang w:val="en-US" w:eastAsia="zh-CN"/>
        </w:rPr>
        <w:t>捐赠者有权对捐赠款项的使用进行合理的征询、监督，基金会应如实回馈、积极配合。</w:t>
      </w:r>
      <w:r>
        <w:rPr>
          <w:rFonts w:hint="default" w:ascii="仿宋_GB2312" w:hAnsi="宋体" w:eastAsia="仿宋_GB2312" w:cs="Times New Roman"/>
          <w:sz w:val="32"/>
          <w:szCs w:val="32"/>
          <w:lang w:val="en-US" w:eastAsia="zh-CN"/>
        </w:rPr>
        <w:br w:type="textWrapping"/>
      </w:r>
    </w:p>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b/>
          <w:color w:val="000000"/>
          <w:kern w:val="0"/>
          <w:sz w:val="32"/>
          <w:szCs w:val="32"/>
          <w:lang w:val="en-US" w:eastAsia="zh-CN"/>
        </w:rPr>
      </w:pPr>
      <w:r>
        <w:rPr>
          <w:rFonts w:hint="eastAsia" w:ascii="仿宋_GB2312" w:hAnsi="仿宋_GB2312" w:eastAsia="仿宋_GB2312" w:cs="仿宋_GB2312"/>
          <w:b/>
          <w:color w:val="000000"/>
          <w:kern w:val="0"/>
          <w:sz w:val="32"/>
          <w:szCs w:val="32"/>
          <w:lang w:val="en-US" w:eastAsia="zh-CN"/>
        </w:rPr>
        <w:t>第三章  附则</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宋体" w:eastAsia="仿宋_GB2312" w:cs="Times New Roman"/>
          <w:sz w:val="32"/>
          <w:szCs w:val="32"/>
          <w:lang w:val="en-US" w:eastAsia="zh-CN"/>
        </w:rPr>
        <w:t>第五条 本办法自发文之日起执行，由基金会负责解释。</w:t>
      </w:r>
    </w:p>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right="0" w:firstLine="640" w:firstLineChars="200"/>
        <w:jc w:val="left"/>
        <w:textAlignment w:val="auto"/>
        <w:rPr>
          <w:rFonts w:hint="eastAsia" w:ascii="仿宋_GB2312" w:hAnsi="宋体" w:eastAsia="仿宋_GB2312" w:cs="Times New Roman"/>
          <w:sz w:val="32"/>
          <w:szCs w:val="32"/>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right="0" w:firstLine="640" w:firstLineChars="200"/>
        <w:jc w:val="left"/>
        <w:textAlignment w:val="auto"/>
        <w:rPr>
          <w:rFonts w:hint="eastAsia" w:ascii="仿宋_GB2312" w:hAnsi="宋体" w:eastAsia="仿宋_GB2312" w:cs="Times New Roman"/>
          <w:sz w:val="32"/>
          <w:szCs w:val="32"/>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right="0" w:firstLine="640" w:firstLineChars="200"/>
        <w:jc w:val="left"/>
        <w:textAlignment w:val="auto"/>
        <w:rPr>
          <w:rFonts w:hint="eastAsia" w:ascii="仿宋_GB2312" w:hAnsi="宋体" w:eastAsia="仿宋_GB2312" w:cs="Times New Roman"/>
          <w:sz w:val="32"/>
          <w:szCs w:val="32"/>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right="0" w:firstLine="640" w:firstLineChars="200"/>
        <w:jc w:val="center"/>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 xml:space="preserve">                     泉州师范学院教育发展基金会</w:t>
      </w:r>
    </w:p>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right="0" w:firstLine="640" w:firstLineChars="200"/>
        <w:jc w:val="center"/>
        <w:textAlignment w:val="auto"/>
        <w:rPr>
          <w:rFonts w:hint="default"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 xml:space="preserve">                       2017年9月21日</w:t>
      </w:r>
    </w:p>
    <w:p>
      <w:pPr>
        <w:keepNext w:val="0"/>
        <w:keepLines w:val="0"/>
        <w:pageBreakBefore w:val="0"/>
        <w:kinsoku/>
        <w:wordWrap/>
        <w:overflowPunct/>
        <w:topLinePunct w:val="0"/>
        <w:autoSpaceDE/>
        <w:autoSpaceDN/>
        <w:bidi w:val="0"/>
        <w:adjustRightInd/>
        <w:snapToGrid w:val="0"/>
        <w:spacing w:line="560" w:lineRule="exact"/>
        <w:textAlignment w:val="auto"/>
        <w:rPr>
          <w:rFonts w:hint="eastAsia"/>
          <w:lang w:eastAsia="zh-CN"/>
        </w:rPr>
      </w:pPr>
      <w:bookmarkStart w:id="0" w:name="_GoBack"/>
      <w:bookmarkEnd w:id="0"/>
    </w:p>
    <w:sectPr>
      <w:footerReference r:id="rId3" w:type="default"/>
      <w:footerReference r:id="rId4" w:type="even"/>
      <w:pgSz w:w="11906" w:h="16838"/>
      <w:pgMar w:top="1417" w:right="1474" w:bottom="1134" w:left="1474"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Fonts w:asci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- 6 -</w:t>
    </w:r>
    <w:r>
      <w:rPr>
        <w:rFonts w:ascii="宋体" w:hAnsi="宋体"/>
        <w:sz w:val="28"/>
        <w:szCs w:val="28"/>
      </w:rPr>
      <w:fldChar w:fldCharType="end"/>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fldChar w:fldCharType="begin"/>
    </w:r>
    <w:r>
      <w:rPr>
        <w:rStyle w:val="9"/>
      </w:rPr>
      <w:instrText xml:space="preserve">PAGE  </w:instrText>
    </w:r>
    <w:r>
      <w:fldChar w:fldCharType="separate"/>
    </w:r>
    <w:r>
      <w:rPr>
        <w:rStyle w:val="9"/>
      </w:rPr>
      <w:t>- 6 -</w:t>
    </w:r>
    <w:r>
      <w:fldChar w:fldCharType="end"/>
    </w:r>
  </w:p>
  <w:p>
    <w:pPr>
      <w:pStyle w:val="5"/>
      <w:ind w:right="360" w:firstLine="360"/>
    </w:pPr>
  </w:p>
</w:ftr>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