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B8709">
      <w:pPr>
        <w:spacing w:line="91" w:lineRule="auto"/>
        <w:rPr>
          <w:rFonts w:ascii="Arial"/>
          <w:sz w:val="2"/>
        </w:rPr>
      </w:pPr>
    </w:p>
    <w:p w14:paraId="2ECDCBCE">
      <w:pPr>
        <w:keepNext w:val="0"/>
        <w:keepLines w:val="0"/>
        <w:pageBreakBefore w:val="0"/>
        <w:widowControl/>
        <w:kinsoku w:val="0"/>
        <w:wordWrap/>
        <w:overflowPunct/>
        <w:topLinePunct w:val="0"/>
        <w:autoSpaceDE w:val="0"/>
        <w:autoSpaceDN w:val="0"/>
        <w:bidi w:val="0"/>
        <w:adjustRightInd w:val="0"/>
        <w:snapToGrid w:val="0"/>
        <w:spacing w:before="101" w:line="540" w:lineRule="exact"/>
        <w:jc w:val="left"/>
        <w:textAlignment w:val="baseline"/>
        <w:rPr>
          <w:rFonts w:hint="eastAsia" w:ascii="黑体" w:hAnsi="黑体" w:eastAsia="黑体" w:cs="黑体"/>
          <w:sz w:val="32"/>
          <w:szCs w:val="32"/>
        </w:rPr>
      </w:pPr>
      <w:r>
        <w:rPr>
          <w:rFonts w:hint="eastAsia" w:ascii="黑体" w:hAnsi="黑体" w:eastAsia="黑体" w:cs="黑体"/>
          <w:snapToGrid w:val="0"/>
          <w:color w:val="auto"/>
          <w:spacing w:val="-4"/>
          <w:kern w:val="0"/>
          <w:sz w:val="32"/>
          <w:szCs w:val="32"/>
          <w:lang w:eastAsia="en-US"/>
        </w:rPr>
        <w:t>附件2</w:t>
      </w:r>
    </w:p>
    <w:p w14:paraId="09EE6533">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b w:val="0"/>
          <w:bCs/>
          <w:snapToGrid/>
          <w:kern w:val="2"/>
          <w:sz w:val="44"/>
          <w:szCs w:val="44"/>
          <w:lang w:val="en-US" w:eastAsia="zh-CN"/>
        </w:rPr>
      </w:pPr>
    </w:p>
    <w:p w14:paraId="6D39E53E">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b w:val="0"/>
          <w:bCs/>
          <w:snapToGrid/>
          <w:kern w:val="2"/>
          <w:sz w:val="44"/>
          <w:szCs w:val="44"/>
          <w:lang w:val="en-US" w:eastAsia="zh-CN"/>
        </w:rPr>
      </w:pPr>
      <w:r>
        <w:rPr>
          <w:rFonts w:hint="eastAsia" w:ascii="方正小标宋简体" w:hAnsi="方正小标宋简体" w:eastAsia="方正小标宋简体" w:cs="方正小标宋简体"/>
          <w:b w:val="0"/>
          <w:bCs/>
          <w:snapToGrid/>
          <w:kern w:val="2"/>
          <w:sz w:val="44"/>
          <w:szCs w:val="44"/>
          <w:lang w:val="en-US" w:eastAsia="zh-CN"/>
        </w:rPr>
        <w:t>2025年度非教学单位管理服务奖和工作</w:t>
      </w:r>
    </w:p>
    <w:p w14:paraId="6CA760F4">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b w:val="0"/>
          <w:bCs/>
          <w:snapToGrid/>
          <w:kern w:val="2"/>
          <w:sz w:val="44"/>
          <w:szCs w:val="44"/>
          <w:lang w:val="en-US" w:eastAsia="zh-CN"/>
        </w:rPr>
      </w:pPr>
      <w:r>
        <w:rPr>
          <w:rFonts w:hint="eastAsia" w:ascii="方正小标宋简体" w:hAnsi="方正小标宋简体" w:eastAsia="方正小标宋简体" w:cs="方正小标宋简体"/>
          <w:b w:val="0"/>
          <w:bCs/>
          <w:snapToGrid/>
          <w:kern w:val="2"/>
          <w:sz w:val="44"/>
          <w:szCs w:val="44"/>
          <w:lang w:val="en-US" w:eastAsia="zh-CN"/>
        </w:rPr>
        <w:t>效能奖发放原则意见</w:t>
      </w:r>
    </w:p>
    <w:p w14:paraId="63834CE8">
      <w:pPr>
        <w:spacing w:before="93" w:line="229" w:lineRule="auto"/>
        <w:ind w:left="3724"/>
        <w:rPr>
          <w:rFonts w:hint="eastAsia" w:ascii="仿宋_GB2312" w:hAnsi="仿宋_GB2312" w:eastAsia="仿宋_GB2312" w:cs="仿宋_GB2312"/>
          <w:sz w:val="31"/>
          <w:szCs w:val="31"/>
        </w:rPr>
      </w:pPr>
    </w:p>
    <w:p w14:paraId="4257B63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72" w:firstLineChars="200"/>
        <w:textAlignment w:val="baseline"/>
      </w:pPr>
      <w:r>
        <w:rPr>
          <w:rFonts w:hint="eastAsia" w:ascii="仿宋_GB2312" w:hAnsi="仿宋_GB2312" w:eastAsia="仿宋_GB2312" w:cs="仿宋_GB2312"/>
          <w:spacing w:val="8"/>
          <w:sz w:val="32"/>
          <w:szCs w:val="32"/>
        </w:rPr>
        <w:t>为激励教职工的工作积极性和创造性，落实岗位职责，</w:t>
      </w:r>
      <w:r>
        <w:rPr>
          <w:rFonts w:hint="eastAsia" w:ascii="仿宋_GB2312" w:hAnsi="仿宋_GB2312" w:eastAsia="仿宋_GB2312" w:cs="仿宋_GB2312"/>
          <w:spacing w:val="5"/>
          <w:sz w:val="32"/>
          <w:szCs w:val="32"/>
        </w:rPr>
        <w:t>提高管理服务水平，结合学校办学实际，经研</w:t>
      </w:r>
      <w:r>
        <w:rPr>
          <w:rFonts w:hint="eastAsia" w:ascii="仿宋_GB2312" w:hAnsi="仿宋_GB2312" w:eastAsia="仿宋_GB2312" w:cs="仿宋_GB2312"/>
          <w:spacing w:val="4"/>
          <w:sz w:val="32"/>
          <w:szCs w:val="32"/>
        </w:rPr>
        <w:t>究，提出202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9"/>
          <w:sz w:val="32"/>
          <w:szCs w:val="32"/>
        </w:rPr>
        <w:t>年度非教学单位管理服务奖和工作效能奖发放的原则意见。</w:t>
      </w:r>
    </w:p>
    <w:p w14:paraId="7D74A1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48" w:firstLineChars="200"/>
        <w:textAlignment w:val="baseline"/>
        <w:rPr>
          <w:rFonts w:ascii="黑体" w:hAnsi="黑体" w:eastAsia="黑体" w:cs="黑体"/>
          <w:sz w:val="31"/>
          <w:szCs w:val="31"/>
        </w:rPr>
      </w:pPr>
      <w:r>
        <w:rPr>
          <w:rFonts w:ascii="黑体" w:hAnsi="黑体" w:eastAsia="黑体" w:cs="黑体"/>
          <w:spacing w:val="7"/>
          <w:sz w:val="31"/>
          <w:szCs w:val="31"/>
        </w:rPr>
        <w:t>一、发放原则</w:t>
      </w:r>
    </w:p>
    <w:p w14:paraId="2F06EDE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72"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非教学单位管理服务奖和工作效能奖的发放，应坚持“效率优先，兼顾公平，按劳分配，优绩优酬” 的原则，应与教职工的岗位职责、工作业绩直接挂钩。各单位应严格绩效考核，根据工作人员履行岗位职责情况及实际贡献等，适当拉开分配差距，体现“多劳多得、多担当多得”，杜绝平均化，确保优质高效的工作有较高的报酬。</w:t>
      </w:r>
    </w:p>
    <w:p w14:paraId="11BAC3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48" w:firstLineChars="200"/>
        <w:textAlignment w:val="baseline"/>
        <w:rPr>
          <w:rFonts w:ascii="黑体" w:hAnsi="黑体" w:eastAsia="黑体" w:cs="黑体"/>
          <w:sz w:val="31"/>
          <w:szCs w:val="31"/>
        </w:rPr>
      </w:pPr>
      <w:r>
        <w:rPr>
          <w:rFonts w:ascii="黑体" w:hAnsi="黑体" w:eastAsia="黑体" w:cs="黑体"/>
          <w:spacing w:val="7"/>
          <w:sz w:val="31"/>
          <w:szCs w:val="31"/>
        </w:rPr>
        <w:t>二、发放标准</w:t>
      </w:r>
    </w:p>
    <w:p w14:paraId="15D28A5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59" w:firstLineChars="200"/>
        <w:textAlignment w:val="baseline"/>
        <w:outlineLvl w:val="1"/>
        <w:rPr>
          <w:rFonts w:ascii="楷体" w:hAnsi="楷体" w:eastAsia="楷体" w:cs="楷体"/>
          <w:sz w:val="32"/>
          <w:szCs w:val="32"/>
        </w:rPr>
      </w:pPr>
      <w:r>
        <w:rPr>
          <w:rFonts w:ascii="楷体" w:hAnsi="楷体" w:eastAsia="楷体" w:cs="楷体"/>
          <w:b/>
          <w:bCs/>
          <w:spacing w:val="4"/>
          <w:sz w:val="32"/>
          <w:szCs w:val="32"/>
        </w:rPr>
        <w:t>（一）管理服务奖发放标准</w:t>
      </w:r>
    </w:p>
    <w:p w14:paraId="4B96C128">
      <w:pPr>
        <w:keepNext w:val="0"/>
        <w:keepLines w:val="0"/>
        <w:pageBreakBefore w:val="0"/>
        <w:widowControl w:val="0"/>
        <w:kinsoku/>
        <w:wordWrap/>
        <w:overflowPunct/>
        <w:topLinePunct w:val="0"/>
        <w:autoSpaceDE w:val="0"/>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管理服务奖按照20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年各职级标准执行。</w:t>
      </w:r>
    </w:p>
    <w:p w14:paraId="7D2D1D5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59" w:firstLineChars="200"/>
        <w:textAlignment w:val="baseline"/>
        <w:outlineLvl w:val="1"/>
        <w:rPr>
          <w:rFonts w:ascii="楷体" w:hAnsi="楷体" w:eastAsia="楷体" w:cs="楷体"/>
          <w:sz w:val="32"/>
          <w:szCs w:val="32"/>
        </w:rPr>
      </w:pPr>
      <w:r>
        <w:rPr>
          <w:rFonts w:ascii="楷体" w:hAnsi="楷体" w:eastAsia="楷体" w:cs="楷体"/>
          <w:b/>
          <w:bCs/>
          <w:spacing w:val="4"/>
          <w:sz w:val="32"/>
          <w:szCs w:val="32"/>
        </w:rPr>
        <w:t>（二）工作效能奖</w:t>
      </w:r>
      <w:bookmarkStart w:id="0" w:name="_GoBack"/>
      <w:bookmarkEnd w:id="0"/>
      <w:r>
        <w:rPr>
          <w:rFonts w:ascii="楷体" w:hAnsi="楷体" w:eastAsia="楷体" w:cs="楷体"/>
          <w:b/>
          <w:bCs/>
          <w:spacing w:val="4"/>
          <w:sz w:val="32"/>
          <w:szCs w:val="32"/>
        </w:rPr>
        <w:t>发放标准</w:t>
      </w:r>
    </w:p>
    <w:p w14:paraId="127F142D">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72" w:firstLineChars="200"/>
        <w:jc w:val="left"/>
        <w:textAlignment w:val="baseline"/>
      </w:pPr>
      <w:r>
        <w:rPr>
          <w:rFonts w:hint="eastAsia" w:ascii="仿宋_GB2312" w:hAnsi="仿宋_GB2312" w:eastAsia="仿宋_GB2312" w:cs="仿宋_GB2312"/>
          <w:spacing w:val="8"/>
          <w:sz w:val="32"/>
          <w:szCs w:val="32"/>
        </w:rPr>
        <w:t>工作效能奖发放标准1.6万元/人.年。各单位根据学校核拨的工作效能奖总额，结合本单位人员履职情况及工作业绩等，进行差额奖励。各等级奖励额度之间的差额应不少于1000元。</w:t>
      </w:r>
    </w:p>
    <w:p w14:paraId="33EBCA4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0" w:right="0" w:firstLine="644" w:firstLineChars="200"/>
        <w:textAlignment w:val="baseline"/>
        <w:rPr>
          <w:rFonts w:ascii="黑体" w:hAnsi="黑体" w:eastAsia="黑体" w:cs="黑体"/>
          <w:spacing w:val="6"/>
          <w:sz w:val="31"/>
          <w:szCs w:val="31"/>
        </w:rPr>
      </w:pPr>
      <w:r>
        <w:rPr>
          <w:rFonts w:ascii="黑体" w:hAnsi="黑体" w:eastAsia="黑体" w:cs="黑体"/>
          <w:spacing w:val="6"/>
          <w:sz w:val="31"/>
          <w:szCs w:val="31"/>
        </w:rPr>
        <w:t>相关要求</w:t>
      </w:r>
    </w:p>
    <w:p w14:paraId="457F8F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672" w:firstLineChars="200"/>
        <w:textAlignment w:val="baseline"/>
        <w:rPr>
          <w:rFonts w:hint="eastAsia" w:ascii="仿宋_GB2312" w:hAnsi="仿宋_GB2312" w:eastAsia="仿宋_GB2312" w:cs="仿宋_GB2312"/>
          <w:color w:val="FF0000"/>
          <w:spacing w:val="17"/>
          <w:sz w:val="32"/>
          <w:szCs w:val="32"/>
          <w:lang w:eastAsia="zh-CN"/>
        </w:rPr>
      </w:pPr>
      <w:r>
        <w:rPr>
          <w:rFonts w:hint="eastAsia" w:ascii="仿宋_GB2312" w:hAnsi="仿宋_GB2312" w:eastAsia="仿宋_GB2312" w:cs="仿宋_GB2312"/>
          <w:spacing w:val="8"/>
          <w:sz w:val="32"/>
          <w:szCs w:val="32"/>
        </w:rPr>
        <w:t>各单位应在学校原则意见的指导下制定本单位工作效能奖的分配办法。</w:t>
      </w:r>
    </w:p>
    <w:sectPr>
      <w:footerReference r:id="rId5" w:type="default"/>
      <w:pgSz w:w="11906" w:h="16839"/>
      <w:pgMar w:top="1928" w:right="1474" w:bottom="1928" w:left="1587" w:header="0" w:footer="992" w:gutter="0"/>
      <w:pgNumType w:fmt="numberInDash" w:start="2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4CD5">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807EF">
                          <w:pPr>
                            <w:pStyle w:val="3"/>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- 28 -</w:t>
                          </w:r>
                          <w:r>
                            <w:rPr>
                              <w:rFonts w:hint="eastAsia" w:ascii="宋体" w:hAnsi="宋体" w:eastAsia="宋体" w:cs="宋体"/>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3F807EF">
                    <w:pPr>
                      <w:pStyle w:val="3"/>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- 28 -</w:t>
                    </w:r>
                    <w:r>
                      <w:rPr>
                        <w:rFonts w:hint="eastAsia" w:ascii="宋体" w:hAnsi="宋体" w:eastAsia="宋体" w:cs="宋体"/>
                        <w:sz w:val="28"/>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331D0"/>
    <w:multiLevelType w:val="singleLevel"/>
    <w:tmpl w:val="CA5331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2E86DAF"/>
    <w:rsid w:val="05126815"/>
    <w:rsid w:val="06B91B8C"/>
    <w:rsid w:val="06F44528"/>
    <w:rsid w:val="076F3599"/>
    <w:rsid w:val="09732DA3"/>
    <w:rsid w:val="09851F29"/>
    <w:rsid w:val="09D07DA9"/>
    <w:rsid w:val="0AF30554"/>
    <w:rsid w:val="0CE57811"/>
    <w:rsid w:val="14155852"/>
    <w:rsid w:val="143D6FF9"/>
    <w:rsid w:val="14677440"/>
    <w:rsid w:val="149D2C4F"/>
    <w:rsid w:val="16537CE2"/>
    <w:rsid w:val="16DA5949"/>
    <w:rsid w:val="17675875"/>
    <w:rsid w:val="1C13053F"/>
    <w:rsid w:val="1CB60ED3"/>
    <w:rsid w:val="1CD86A1F"/>
    <w:rsid w:val="1F112B87"/>
    <w:rsid w:val="20E8660F"/>
    <w:rsid w:val="22E471B1"/>
    <w:rsid w:val="24582C38"/>
    <w:rsid w:val="2536704D"/>
    <w:rsid w:val="254954C0"/>
    <w:rsid w:val="26750726"/>
    <w:rsid w:val="26A658CA"/>
    <w:rsid w:val="26FF6BCF"/>
    <w:rsid w:val="2A7925CE"/>
    <w:rsid w:val="2BE617CC"/>
    <w:rsid w:val="2E4C78E1"/>
    <w:rsid w:val="2ED64421"/>
    <w:rsid w:val="2F0E3463"/>
    <w:rsid w:val="2F215936"/>
    <w:rsid w:val="2FD81CCA"/>
    <w:rsid w:val="30526C82"/>
    <w:rsid w:val="34F552EB"/>
    <w:rsid w:val="36120CD2"/>
    <w:rsid w:val="3AA12D62"/>
    <w:rsid w:val="3AB559DC"/>
    <w:rsid w:val="3B7B149B"/>
    <w:rsid w:val="3BA26D92"/>
    <w:rsid w:val="3D8E5820"/>
    <w:rsid w:val="3F342399"/>
    <w:rsid w:val="40850363"/>
    <w:rsid w:val="42611D91"/>
    <w:rsid w:val="444E121C"/>
    <w:rsid w:val="45F87292"/>
    <w:rsid w:val="4799451A"/>
    <w:rsid w:val="47F75B4D"/>
    <w:rsid w:val="480C4C44"/>
    <w:rsid w:val="4A1448A8"/>
    <w:rsid w:val="4A5815B7"/>
    <w:rsid w:val="4A646E92"/>
    <w:rsid w:val="4AD621D7"/>
    <w:rsid w:val="4BDC366A"/>
    <w:rsid w:val="4E9D1D67"/>
    <w:rsid w:val="4F3571FA"/>
    <w:rsid w:val="4FC6067D"/>
    <w:rsid w:val="50BA710C"/>
    <w:rsid w:val="53927D35"/>
    <w:rsid w:val="54501629"/>
    <w:rsid w:val="563D43FE"/>
    <w:rsid w:val="57664CC0"/>
    <w:rsid w:val="58912C25"/>
    <w:rsid w:val="593C32B6"/>
    <w:rsid w:val="597C685E"/>
    <w:rsid w:val="5BE16DF2"/>
    <w:rsid w:val="5C8E78FA"/>
    <w:rsid w:val="5F645F89"/>
    <w:rsid w:val="5F864D3C"/>
    <w:rsid w:val="625114B1"/>
    <w:rsid w:val="64041AE8"/>
    <w:rsid w:val="64F346EF"/>
    <w:rsid w:val="68E1028A"/>
    <w:rsid w:val="69B25283"/>
    <w:rsid w:val="6A4315BC"/>
    <w:rsid w:val="6A66711B"/>
    <w:rsid w:val="6B0A51DD"/>
    <w:rsid w:val="6D07663B"/>
    <w:rsid w:val="6E2B40FC"/>
    <w:rsid w:val="6F8A67DE"/>
    <w:rsid w:val="6FA24510"/>
    <w:rsid w:val="70D016D0"/>
    <w:rsid w:val="727367B7"/>
    <w:rsid w:val="75D16CE7"/>
    <w:rsid w:val="79AB2CDA"/>
    <w:rsid w:val="7A950517"/>
    <w:rsid w:val="7AEE30C7"/>
    <w:rsid w:val="7BF85843"/>
    <w:rsid w:val="7CC218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FangSong_GB2312" w:hAnsi="FangSong_GB2312" w:eastAsia="FangSong_GB2312" w:cs="FangSong_GB2312"/>
      <w:sz w:val="24"/>
      <w:szCs w:val="24"/>
      <w:lang w:val="en-US" w:eastAsia="en-US" w:bidi="ar-SA"/>
    </w:rPr>
  </w:style>
  <w:style w:type="character" w:customStyle="1" w:styleId="10">
    <w:name w:val="font81"/>
    <w:basedOn w:val="6"/>
    <w:qFormat/>
    <w:uiPriority w:val="0"/>
    <w:rPr>
      <w:rFonts w:hint="eastAsia" w:ascii="仿宋_GB2312" w:eastAsia="仿宋_GB2312" w:cs="仿宋_GB2312"/>
      <w:color w:val="000000"/>
      <w:sz w:val="24"/>
      <w:szCs w:val="24"/>
      <w:u w:val="none"/>
    </w:rPr>
  </w:style>
  <w:style w:type="character" w:customStyle="1" w:styleId="11">
    <w:name w:val="font91"/>
    <w:basedOn w:val="6"/>
    <w:qFormat/>
    <w:uiPriority w:val="0"/>
    <w:rPr>
      <w:rFonts w:hint="eastAsia" w:ascii="仿宋_GB2312" w:eastAsia="仿宋_GB2312" w:cs="仿宋_GB2312"/>
      <w:color w:val="FF0000"/>
      <w:sz w:val="24"/>
      <w:szCs w:val="24"/>
      <w:u w:val="none"/>
    </w:rPr>
  </w:style>
  <w:style w:type="character" w:customStyle="1" w:styleId="12">
    <w:name w:val="font121"/>
    <w:basedOn w:val="6"/>
    <w:qFormat/>
    <w:uiPriority w:val="0"/>
    <w:rPr>
      <w:rFonts w:hint="eastAsia" w:ascii="仿宋_GB2312" w:eastAsia="仿宋_GB2312" w:cs="仿宋_GB2312"/>
      <w:i/>
      <w:iCs/>
      <w:color w:val="000000"/>
      <w:sz w:val="24"/>
      <w:szCs w:val="24"/>
      <w:u w:val="none"/>
    </w:rPr>
  </w:style>
  <w:style w:type="character" w:customStyle="1" w:styleId="13">
    <w:name w:val="font112"/>
    <w:basedOn w:val="6"/>
    <w:qFormat/>
    <w:uiPriority w:val="0"/>
    <w:rPr>
      <w:rFonts w:hint="eastAsia" w:ascii="仿宋_GB2312" w:eastAsia="仿宋_GB2312" w:cs="仿宋_GB2312"/>
      <w:color w:val="000000"/>
      <w:sz w:val="24"/>
      <w:szCs w:val="24"/>
      <w:u w:val="none"/>
    </w:rPr>
  </w:style>
  <w:style w:type="character" w:customStyle="1" w:styleId="14">
    <w:name w:val="font131"/>
    <w:basedOn w:val="6"/>
    <w:qFormat/>
    <w:uiPriority w:val="0"/>
    <w:rPr>
      <w:rFonts w:ascii="Arial" w:hAnsi="Arial" w:cs="Arial"/>
      <w:color w:val="000000"/>
      <w:sz w:val="24"/>
      <w:szCs w:val="24"/>
      <w:u w:val="none"/>
    </w:rPr>
  </w:style>
  <w:style w:type="character" w:customStyle="1" w:styleId="15">
    <w:name w:val="font122"/>
    <w:basedOn w:val="6"/>
    <w:qFormat/>
    <w:uiPriority w:val="0"/>
    <w:rPr>
      <w:rFonts w:hint="eastAsia" w:ascii="仿宋_GB2312" w:eastAsia="仿宋_GB2312" w:cs="仿宋_GB2312"/>
      <w:i/>
      <w:iCs/>
      <w:color w:val="000000"/>
      <w:sz w:val="24"/>
      <w:szCs w:val="24"/>
      <w:u w:val="none"/>
    </w:rPr>
  </w:style>
  <w:style w:type="character" w:customStyle="1" w:styleId="16">
    <w:name w:val="font111"/>
    <w:basedOn w:val="6"/>
    <w:qFormat/>
    <w:uiPriority w:val="0"/>
    <w:rPr>
      <w:rFonts w:hint="eastAsia" w:ascii="仿宋_GB2312" w:eastAsia="仿宋_GB2312" w:cs="仿宋_GB2312"/>
      <w:color w:val="000000"/>
      <w:sz w:val="24"/>
      <w:szCs w:val="24"/>
      <w:u w:val="none"/>
    </w:rPr>
  </w:style>
  <w:style w:type="character" w:customStyle="1" w:styleId="17">
    <w:name w:val="font101"/>
    <w:basedOn w:val="6"/>
    <w:qFormat/>
    <w:uiPriority w:val="0"/>
    <w:rPr>
      <w:rFonts w:hint="eastAsia" w:ascii="仿宋_GB2312" w:eastAsia="仿宋_GB2312" w:cs="仿宋_GB2312"/>
      <w:color w:val="FF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416</Words>
  <Characters>430</Characters>
  <TotalTime>3</TotalTime>
  <ScaleCrop>false</ScaleCrop>
  <LinksUpToDate>false</LinksUpToDate>
  <CharactersWithSpaces>431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2024-01-10T11:27:00Z</dcterms:created>
  <dc:creator>china</dc:creator>
  <cp:lastModifiedBy>王英文</cp:lastModifiedBy>
  <cp:lastPrinted>2026-01-04T02:32:00Z</cp:lastPrinted>
  <dcterms:modified xsi:type="dcterms:W3CDTF">2026-01-04T02:53:54Z</dcterms:modified>
  <dc:title>泉州师范学院2017年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2024-12-13T09:29:31Z</vt:filetime>
  </property>
  <property fmtid="{D5CDD505-2E9C-101B-9397-08002B2CF9AE}" pid="4" name="KSOProductBuildVer">
    <vt:lpwstr>2052-12.1.0.24034</vt:lpwstr>
  </property>
  <property fmtid="{D5CDD505-2E9C-101B-9397-08002B2CF9AE}" pid="5" name="ICV">
    <vt:lpwstr>A6C6EC06F7A04110BC8133FB4B2E86F2_13</vt:lpwstr>
  </property>
  <property fmtid="{D5CDD505-2E9C-101B-9397-08002B2CF9AE}" pid="6" name="KSOTemplateDocerSaveRecord">
    <vt:lpwstr>eyJoZGlkIjoiMDViMTA1N2E4ODhjYWUwNjMxZTg3MmY3NTg4ZWRiNDAiLCJ1c2VySWQiOiI4MjQ4NTc1OTEifQ==</vt:lpwstr>
  </property>
</Properties>
</file>