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F36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0122FD48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45783D1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科学研究与社会服务综合贡献奖</w:t>
      </w:r>
    </w:p>
    <w:p w14:paraId="58ED2EF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发放原则意见</w:t>
      </w:r>
    </w:p>
    <w:p w14:paraId="0458D5E4">
      <w:pPr>
        <w:spacing w:line="560" w:lineRule="exact"/>
        <w:ind w:firstLine="866" w:firstLineChars="196"/>
        <w:jc w:val="center"/>
        <w:rPr>
          <w:rFonts w:hint="eastAsia" w:ascii="黑体" w:eastAsia="黑体"/>
          <w:b/>
          <w:sz w:val="44"/>
          <w:szCs w:val="44"/>
        </w:rPr>
      </w:pPr>
    </w:p>
    <w:p w14:paraId="1019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为充分调动教职工和二级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科学研究与社会服务</w:t>
      </w:r>
      <w:r>
        <w:rPr>
          <w:rFonts w:hint="eastAsia" w:ascii="仿宋_GB2312" w:eastAsia="仿宋_GB2312"/>
          <w:sz w:val="32"/>
          <w:szCs w:val="32"/>
        </w:rPr>
        <w:t>的积极性，提高学校整体科研质量和</w:t>
      </w:r>
      <w:r>
        <w:rPr>
          <w:rFonts w:hint="eastAsia" w:ascii="仿宋_GB2312" w:eastAsia="仿宋_GB2312"/>
          <w:sz w:val="32"/>
          <w:szCs w:val="32"/>
          <w:lang w:eastAsia="zh-CN"/>
        </w:rPr>
        <w:t>社会服务</w:t>
      </w:r>
      <w:r>
        <w:rPr>
          <w:rFonts w:hint="eastAsia" w:ascii="仿宋_GB2312" w:eastAsia="仿宋_GB2312"/>
          <w:sz w:val="32"/>
          <w:szCs w:val="32"/>
        </w:rPr>
        <w:t>水平，结合学校实际，提出20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科学研究与社会服务综合贡献奖</w:t>
      </w:r>
      <w:r>
        <w:rPr>
          <w:rFonts w:hint="eastAsia" w:ascii="仿宋_GB2312" w:eastAsia="仿宋_GB2312"/>
          <w:sz w:val="32"/>
          <w:szCs w:val="32"/>
        </w:rPr>
        <w:t>发放的原则意见。</w:t>
      </w:r>
    </w:p>
    <w:p w14:paraId="2880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一、奖项构成</w:t>
      </w:r>
    </w:p>
    <w:p w14:paraId="7155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5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2025年度的科研业绩奖励核算依据《泉州师范学院科研业绩认定和奖励办法》（泉师科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〔2025〕2号）执行，2025年之前产出的科研业绩奖励核算依据《泉州师范学院科研工作量计算办法》（泉师科〔2017〕6号）执行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54110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二、分配原则</w:t>
      </w:r>
    </w:p>
    <w:p w14:paraId="70764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根据教师个人和二级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申报，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科研处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和社科中心</w:t>
      </w:r>
      <w:r>
        <w:rPr>
          <w:rFonts w:hint="eastAsia" w:ascii="仿宋_GB2312" w:hAnsi="楷体" w:eastAsia="仿宋_GB2312"/>
          <w:sz w:val="32"/>
          <w:szCs w:val="32"/>
        </w:rPr>
        <w:t>核算各二级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单位的科研</w:t>
      </w:r>
      <w:r>
        <w:rPr>
          <w:rFonts w:hint="eastAsia" w:ascii="仿宋_GB2312" w:hAnsi="楷体" w:eastAsia="仿宋_GB2312"/>
          <w:sz w:val="32"/>
          <w:szCs w:val="32"/>
        </w:rPr>
        <w:t>绩效总量</w:t>
      </w:r>
      <w:r>
        <w:rPr>
          <w:rFonts w:hint="eastAsia" w:ascii="仿宋_GB2312" w:hAnsi="楷体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行政管理部门人员的科研绩效由科研处或社科中心核算后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直接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报送财务处，教学科研单位（含图书馆）的科研绩效由科研处或社科中心核算后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划拨</w:t>
      </w:r>
      <w:r>
        <w:rPr>
          <w:rFonts w:hint="eastAsia" w:ascii="仿宋_GB2312" w:hAnsi="楷体" w:eastAsia="仿宋_GB2312"/>
          <w:sz w:val="32"/>
          <w:szCs w:val="32"/>
          <w:highlight w:val="none"/>
          <w:lang w:eastAsia="zh-CN"/>
        </w:rPr>
        <w:t>到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二级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楷体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二级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以激发科研人员的积极性创造性为核心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可根据实际情况再做统筹分配。</w:t>
      </w:r>
    </w:p>
    <w:p w14:paraId="03CBC794">
      <w:pPr>
        <w:keepNext w:val="0"/>
        <w:keepLines w:val="0"/>
        <w:pageBreakBefore w:val="0"/>
        <w:tabs>
          <w:tab w:val="left" w:pos="7513"/>
          <w:tab w:val="left" w:pos="765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326390</wp:posOffset>
                </wp:positionV>
                <wp:extent cx="561530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4pt;margin-top:25.7pt;height:0.05pt;width:442.15pt;z-index:251659264;mso-width-relative:page;mso-height-relative:page;" filled="f" stroked="t" coordsize="21600,21600" o:gfxdata="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sLt2LXAAAACAEAAA8AAAAAAAAAAQAgAAAAIgAAAGRycy9kb3ducmV2Lnht&#10;bFBLAQIUABQAAAAIAIdO4kBTYVFt+gEAAPUDAAAOAAAAAAAAAAEAIAAAACY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945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-932" w:rightChars="-444" w:firstLine="280" w:firstLineChars="100"/>
        <w:jc w:val="left"/>
        <w:textAlignment w:val="auto"/>
      </w:pPr>
      <w:r>
        <w:rPr>
          <w:rFonts w:ascii="仿宋_GB2312" w:hAns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226060</wp:posOffset>
                </wp:positionV>
                <wp:extent cx="56153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pt;margin-top:17.8pt;height:0.05pt;width:442.15pt;z-index:251660288;mso-width-relative:page;mso-height-relative:page;" filled="f" stroked="t" coordsize="21600,21600" o:gfxdata="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z+MI2AAAAAgBAAAPAAAAAAAAAAEAIAAAACIAAABkcnMvZG93bnJldi54&#10;bWxQSwECFAAUAAAACACHTuJAvzZBbfoBAAD1AwAADgAAAAAAAAABACAAAAAn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泉州师范学院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党政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 xml:space="preserve">办公室         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20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12月31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日印发</w:t>
      </w:r>
    </w:p>
    <w:sectPr>
      <w:footerReference r:id="rId5" w:type="default"/>
      <w:pgSz w:w="11906" w:h="16839"/>
      <w:pgMar w:top="1984" w:right="1474" w:bottom="1984" w:left="1587" w:header="0" w:footer="992" w:gutter="0"/>
      <w:pgNumType w:fmt="numberInDash" w:start="22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74CD5">
    <w:pPr>
      <w:spacing w:line="176" w:lineRule="auto"/>
      <w:ind w:left="490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B52B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B52B6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807E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Juxs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Em7G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807E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6E47"/>
    <w:rsid w:val="02564CBB"/>
    <w:rsid w:val="08C14D67"/>
    <w:rsid w:val="25E81B16"/>
    <w:rsid w:val="33971521"/>
    <w:rsid w:val="351F7C43"/>
    <w:rsid w:val="3BFE6E47"/>
    <w:rsid w:val="46245B6F"/>
    <w:rsid w:val="5E4C2891"/>
    <w:rsid w:val="601B79A1"/>
    <w:rsid w:val="637E4425"/>
    <w:rsid w:val="6BA86E71"/>
    <w:rsid w:val="7F2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