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jc w:val="center"/>
        <w:rPr>
          <w:rFonts w:hint="eastAsia" w:ascii="宋体" w:hAnsi="宋体" w:eastAsia="宋体"/>
          <w:color w:val="FF0000"/>
          <w:spacing w:val="20"/>
          <w:sz w:val="90"/>
          <w:szCs w:val="90"/>
        </w:rPr>
      </w:pPr>
    </w:p>
    <w:p>
      <w:pPr>
        <w:adjustRightInd w:val="0"/>
        <w:jc w:val="center"/>
        <w:rPr>
          <w:rFonts w:hint="eastAsia" w:ascii="宋体" w:hAnsi="宋体" w:eastAsia="宋体"/>
          <w:color w:val="FF0000"/>
          <w:spacing w:val="20"/>
          <w:sz w:val="90"/>
          <w:szCs w:val="90"/>
        </w:rPr>
      </w:pPr>
    </w:p>
    <w:p>
      <w:pPr>
        <w:adjustRightInd w:val="0"/>
        <w:jc w:val="center"/>
        <w:rPr>
          <w:rFonts w:hint="eastAsia" w:ascii="宋体" w:hAnsi="宋体" w:eastAsia="宋体"/>
          <w:color w:val="FFFFFF"/>
          <w:spacing w:val="20"/>
          <w:sz w:val="90"/>
          <w:szCs w:val="90"/>
        </w:rPr>
      </w:pPr>
      <w:r>
        <w:rPr>
          <w:rFonts w:hint="eastAsia" w:ascii="宋体" w:hAnsi="宋体" w:eastAsia="宋体"/>
          <w:color w:val="FFFFFF"/>
          <w:spacing w:val="20"/>
          <w:sz w:val="90"/>
          <w:szCs w:val="90"/>
        </w:rPr>
        <w:t>泉州师范学院文件</w:t>
      </w:r>
    </w:p>
    <w:p>
      <w:pPr>
        <w:jc w:val="center"/>
        <w:rPr>
          <w:rFonts w:hint="eastAsia" w:ascii="仿宋_GB2312"/>
          <w:sz w:val="28"/>
          <w:szCs w:val="28"/>
        </w:rPr>
      </w:pPr>
    </w:p>
    <w:p>
      <w:pPr>
        <w:jc w:val="center"/>
        <w:rPr>
          <w:rFonts w:hint="eastAsia" w:ascii="仿宋" w:hAnsi="仿宋" w:eastAsia="仿宋" w:cs="仿宋"/>
          <w:b/>
          <w:color w:val="FF0000"/>
          <w:spacing w:val="80"/>
          <w:sz w:val="32"/>
          <w:szCs w:val="32"/>
        </w:rPr>
      </w:pPr>
      <w:r>
        <w:rPr>
          <w:rFonts w:hint="eastAsia" w:ascii="仿宋" w:hAnsi="仿宋" w:eastAsia="仿宋" w:cs="仿宋"/>
          <w:sz w:val="32"/>
          <w:szCs w:val="32"/>
        </w:rPr>
        <w:t>泉师教</w:t>
      </w:r>
      <w:r>
        <w:rPr>
          <w:rFonts w:hint="eastAsia" w:ascii="仿宋" w:hAnsi="仿宋" w:eastAsia="仿宋" w:cs="仿宋"/>
          <w:color w:val="000000"/>
          <w:kern w:val="0"/>
          <w:sz w:val="32"/>
          <w:szCs w:val="32"/>
        </w:rPr>
        <w:t>〔201</w:t>
      </w:r>
      <w:r>
        <w:rPr>
          <w:rFonts w:hint="eastAsia" w:ascii="仿宋" w:hAnsi="仿宋" w:eastAsia="仿宋" w:cs="仿宋"/>
          <w:color w:val="000000"/>
          <w:kern w:val="0"/>
          <w:sz w:val="32"/>
          <w:szCs w:val="32"/>
          <w:lang w:val="en-US" w:eastAsia="zh-CN"/>
        </w:rPr>
        <w:t>7</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24</w:t>
      </w:r>
      <w:r>
        <w:rPr>
          <w:rFonts w:hint="eastAsia" w:ascii="仿宋" w:hAnsi="仿宋" w:eastAsia="仿宋" w:cs="仿宋"/>
          <w:sz w:val="32"/>
          <w:szCs w:val="32"/>
        </w:rPr>
        <w:t>号</w:t>
      </w:r>
    </w:p>
    <w:p>
      <w:pPr>
        <w:spacing w:line="540" w:lineRule="exact"/>
        <w:jc w:val="center"/>
        <w:rPr>
          <w:rFonts w:hint="eastAsia" w:ascii="宋体" w:hAnsi="宋体" w:eastAsia="宋体"/>
        </w:rPr>
      </w:pPr>
    </w:p>
    <w:p>
      <w:pPr>
        <w:spacing w:line="540" w:lineRule="exact"/>
        <w:jc w:val="center"/>
        <w:rPr>
          <w:rFonts w:hint="eastAsia" w:ascii="宋体" w:hAnsi="宋体" w:eastAsia="宋体"/>
        </w:rPr>
      </w:pPr>
      <w:r>
        <w:rPr>
          <w:rFonts w:hint="eastAsia" w:ascii="宋体" w:hAnsi="宋体"/>
          <w:b/>
          <w:sz w:val="30"/>
          <w:szCs w:val="30"/>
          <w:lang w:val="zh-CN" w:eastAsia="zh-CN"/>
        </w:rPr>
        <mc:AlternateContent>
          <mc:Choice Requires="wps">
            <w:drawing>
              <wp:anchor distT="0" distB="0" distL="114300" distR="114300" simplePos="0" relativeHeight="251667456" behindDoc="0" locked="0" layoutInCell="1" allowOverlap="1">
                <wp:simplePos x="0" y="0"/>
                <wp:positionH relativeFrom="column">
                  <wp:posOffset>137160</wp:posOffset>
                </wp:positionH>
                <wp:positionV relativeFrom="paragraph">
                  <wp:posOffset>142875</wp:posOffset>
                </wp:positionV>
                <wp:extent cx="5486400" cy="5080"/>
                <wp:effectExtent l="0" t="0" r="0" b="0"/>
                <wp:wrapNone/>
                <wp:docPr id="7" name="直线 5"/>
                <wp:cNvGraphicFramePr/>
                <a:graphic xmlns:a="http://schemas.openxmlformats.org/drawingml/2006/main">
                  <a:graphicData uri="http://schemas.microsoft.com/office/word/2010/wordprocessingShape">
                    <wps:wsp>
                      <wps:cNvCnPr/>
                      <wps:spPr>
                        <a:xfrm flipV="1">
                          <a:off x="0" y="0"/>
                          <a:ext cx="5486400" cy="5080"/>
                        </a:xfrm>
                        <a:prstGeom prst="line">
                          <a:avLst/>
                        </a:prstGeom>
                        <a:ln w="25400" cap="flat" cmpd="sng">
                          <a:solidFill>
                            <a:srgbClr val="FFFFFF"/>
                          </a:solidFill>
                          <a:prstDash val="solid"/>
                          <a:headEnd type="none" w="med" len="med"/>
                          <a:tailEnd type="none" w="med" len="med"/>
                        </a:ln>
                      </wps:spPr>
                      <wps:bodyPr upright="1"/>
                    </wps:wsp>
                  </a:graphicData>
                </a:graphic>
              </wp:anchor>
            </w:drawing>
          </mc:Choice>
          <mc:Fallback>
            <w:pict>
              <v:line id="直线 5" o:spid="_x0000_s1026" o:spt="20" style="position:absolute;left:0pt;flip:y;margin-left:10.8pt;margin-top:11.25pt;height:0.4pt;width:432pt;z-index:251667456;mso-width-relative:page;mso-height-relative:page;" filled="f" stroked="t" coordsize="21600,21600" o:gfxdata="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WI1dkAAAAIAQAADwAAAAAA&#10;AAABACAAAAAiAAAAZHJzL2Rvd25yZXYueG1sUEsBAhQAFAAAAAgAh07iQK6EYnXZAQAAmwMAAA4A&#10;AAAAAAAAAQAgAAAAKAEAAGRycy9lMm9Eb2MueG1sUEsFBgAAAAAGAAYAWQEAAHMFAAAAAA==&#10;">
                <v:fill on="f" focussize="0,0"/>
                <v:stroke weight="2pt" color="#FFFFFF" joinstyle="round"/>
                <v:imagedata o:title=""/>
                <o:lock v:ext="edit" aspectratio="f"/>
              </v:line>
            </w:pict>
          </mc:Fallback>
        </mc:AlternateContent>
      </w:r>
      <w:r>
        <w:rPr>
          <w:rFonts w:hint="eastAsia" w:ascii="宋体" w:hAnsi="宋体" w:eastAsia="宋体"/>
        </w:rPr>
        <w:t xml:space="preserve">                   </w:t>
      </w:r>
      <w:r>
        <w:rPr>
          <w:rFonts w:hint="eastAsia" w:ascii="宋体" w:hAnsi="宋体" w:eastAsia="宋体"/>
          <w:color w:val="FF0000"/>
          <w:sz w:val="36"/>
        </w:rPr>
        <w:t xml:space="preserve">  </w:t>
      </w:r>
      <w:r>
        <w:rPr>
          <w:rFonts w:hint="eastAsia" w:ascii="宋体" w:hAnsi="宋体"/>
          <w:b/>
          <w:sz w:val="30"/>
          <w:szCs w:val="30"/>
          <w:lang w:val="zh-CN" w:eastAsia="zh-CN"/>
        </w:rPr>
        <mc:AlternateContent>
          <mc:Choice Requires="wps">
            <w:drawing>
              <wp:anchor distT="0" distB="0" distL="114300" distR="114300" simplePos="0" relativeHeight="251666432" behindDoc="0" locked="0" layoutInCell="1" allowOverlap="1">
                <wp:simplePos x="0" y="0"/>
                <wp:positionH relativeFrom="column">
                  <wp:posOffset>-106045</wp:posOffset>
                </wp:positionH>
                <wp:positionV relativeFrom="paragraph">
                  <wp:posOffset>264160</wp:posOffset>
                </wp:positionV>
                <wp:extent cx="5486400" cy="5080"/>
                <wp:effectExtent l="0" t="0" r="0" b="0"/>
                <wp:wrapNone/>
                <wp:docPr id="8" name="直线 6"/>
                <wp:cNvGraphicFramePr/>
                <a:graphic xmlns:a="http://schemas.openxmlformats.org/drawingml/2006/main">
                  <a:graphicData uri="http://schemas.microsoft.com/office/word/2010/wordprocessingShape">
                    <wps:wsp>
                      <wps:cNvCnPr/>
                      <wps:spPr>
                        <a:xfrm flipV="1">
                          <a:off x="0" y="0"/>
                          <a:ext cx="5486400" cy="5080"/>
                        </a:xfrm>
                        <a:prstGeom prst="line">
                          <a:avLst/>
                        </a:prstGeom>
                        <a:ln w="25400">
                          <a:noFill/>
                        </a:ln>
                      </wps:spPr>
                      <wps:bodyPr upright="1"/>
                    </wps:wsp>
                  </a:graphicData>
                </a:graphic>
              </wp:anchor>
            </w:drawing>
          </mc:Choice>
          <mc:Fallback>
            <w:pict>
              <v:line id="直线 6" o:spid="_x0000_s1026" o:spt="20" style="position:absolute;left:0pt;flip:y;margin-left:-8.35pt;margin-top:20.8pt;height:0.4pt;width:432pt;z-index:251666432;mso-width-relative:page;mso-height-relative:page;" filled="f" stroked="f" coordsize="21600,21600" o:gfxdata="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">
                <v:fill on="f" focussize="0,0"/>
                <v:stroke on="f" weight="2pt"/>
                <v:imagedata o:title=""/>
                <o:lock v:ext="edit" aspectratio="f"/>
              </v:line>
            </w:pict>
          </mc:Fallback>
        </mc:AlternateContent>
      </w:r>
      <w:r>
        <w:rPr>
          <w:rFonts w:hint="eastAsia" w:ascii="宋体" w:hAnsi="宋体" w:eastAsia="宋体"/>
        </w:rPr>
        <w:t xml:space="preserve">                   </w:t>
      </w:r>
      <w:r>
        <w:rPr>
          <w:rFonts w:hint="eastAsia" w:ascii="宋体" w:hAnsi="宋体" w:eastAsia="宋体"/>
          <w:color w:val="FF0000"/>
          <w:sz w:val="36"/>
        </w:rPr>
        <w:t xml:space="preserve">  </w:t>
      </w:r>
    </w:p>
    <w:p>
      <w:pPr>
        <w:widowControl/>
        <w:spacing w:line="440" w:lineRule="exact"/>
        <w:jc w:val="center"/>
        <w:outlineLvl w:val="0"/>
        <w:rPr>
          <w:rFonts w:hint="eastAsia" w:ascii="宋体" w:hAnsi="宋体" w:cs="宋体"/>
          <w:b/>
          <w:color w:val="000000"/>
          <w:kern w:val="0"/>
          <w:sz w:val="36"/>
          <w:szCs w:val="36"/>
        </w:rPr>
      </w:pPr>
      <w:r>
        <w:rPr>
          <w:rFonts w:hint="eastAsia" w:ascii="宋体" w:hAnsi="宋体" w:cs="宋体"/>
          <w:b/>
          <w:color w:val="000000"/>
          <w:kern w:val="0"/>
          <w:sz w:val="36"/>
          <w:szCs w:val="36"/>
        </w:rPr>
        <w:t>关于印发《</w:t>
      </w:r>
      <w:r>
        <w:rPr>
          <w:rFonts w:hint="eastAsia" w:asciiTheme="majorEastAsia" w:hAnsiTheme="majorEastAsia" w:eastAsiaTheme="majorEastAsia" w:cstheme="majorEastAsia"/>
          <w:b/>
          <w:bCs/>
          <w:kern w:val="36"/>
          <w:sz w:val="36"/>
          <w:szCs w:val="36"/>
        </w:rPr>
        <w:t>泉州师范学院教学成果奖评选办法</w:t>
      </w:r>
      <w:r>
        <w:rPr>
          <w:rFonts w:hint="eastAsia" w:asciiTheme="majorEastAsia" w:hAnsiTheme="majorEastAsia" w:eastAsiaTheme="majorEastAsia" w:cstheme="majorEastAsia"/>
          <w:b/>
          <w:bCs/>
          <w:kern w:val="36"/>
          <w:sz w:val="36"/>
          <w:szCs w:val="36"/>
          <w:lang w:eastAsia="zh-CN"/>
        </w:rPr>
        <w:t>（试行）</w:t>
      </w:r>
      <w:r>
        <w:rPr>
          <w:rFonts w:hint="eastAsia" w:ascii="宋体" w:hAnsi="宋体" w:cs="宋体"/>
          <w:b/>
          <w:color w:val="000000"/>
          <w:kern w:val="0"/>
          <w:sz w:val="36"/>
          <w:szCs w:val="36"/>
        </w:rPr>
        <w:t>》的通知</w:t>
      </w:r>
    </w:p>
    <w:p>
      <w:pPr>
        <w:widowControl/>
        <w:shd w:val="clear" w:color="auto" w:fill="FFFFFF"/>
        <w:spacing w:line="620" w:lineRule="atLeast"/>
        <w:rPr>
          <w:rFonts w:hint="eastAsia" w:hAnsi="宋体" w:cs="宋体"/>
          <w:color w:val="000000"/>
          <w:kern w:val="0"/>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jc w:val="both"/>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各</w:t>
      </w:r>
      <w:r>
        <w:rPr>
          <w:rFonts w:hint="eastAsia" w:ascii="仿宋" w:hAnsi="仿宋" w:eastAsia="仿宋" w:cs="仿宋"/>
          <w:color w:val="000000"/>
          <w:kern w:val="0"/>
          <w:sz w:val="32"/>
          <w:szCs w:val="32"/>
          <w:lang w:eastAsia="zh-CN"/>
        </w:rPr>
        <w:t>学院、机关各部（处室）、各直属</w:t>
      </w:r>
      <w:r>
        <w:rPr>
          <w:rFonts w:hint="eastAsia" w:ascii="仿宋" w:hAnsi="仿宋" w:eastAsia="仿宋" w:cs="仿宋"/>
          <w:color w:val="000000"/>
          <w:kern w:val="0"/>
          <w:sz w:val="32"/>
          <w:szCs w:val="32"/>
        </w:rPr>
        <w:t>单位：</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《泉州师范学院教学成果奖评选办法</w:t>
      </w:r>
      <w:r>
        <w:rPr>
          <w:rFonts w:hint="eastAsia" w:ascii="仿宋" w:hAnsi="仿宋" w:eastAsia="仿宋" w:cs="仿宋"/>
          <w:color w:val="000000"/>
          <w:kern w:val="0"/>
          <w:sz w:val="32"/>
          <w:szCs w:val="32"/>
          <w:lang w:eastAsia="zh-CN"/>
        </w:rPr>
        <w:t>（试行）</w:t>
      </w:r>
      <w:r>
        <w:rPr>
          <w:rFonts w:hint="eastAsia" w:ascii="仿宋" w:hAnsi="仿宋" w:eastAsia="仿宋" w:cs="仿宋"/>
          <w:color w:val="000000"/>
          <w:kern w:val="0"/>
          <w:sz w:val="32"/>
          <w:szCs w:val="32"/>
        </w:rPr>
        <w:t>》经教学工作</w:t>
      </w:r>
      <w:r>
        <w:rPr>
          <w:rFonts w:hint="eastAsia" w:ascii="仿宋" w:hAnsi="仿宋" w:eastAsia="仿宋" w:cs="仿宋"/>
          <w:color w:val="000000"/>
          <w:kern w:val="0"/>
          <w:sz w:val="32"/>
          <w:szCs w:val="32"/>
          <w:lang w:eastAsia="zh-CN"/>
        </w:rPr>
        <w:t>指导</w:t>
      </w:r>
      <w:r>
        <w:rPr>
          <w:rFonts w:hint="eastAsia" w:ascii="仿宋" w:hAnsi="仿宋" w:eastAsia="仿宋" w:cs="仿宋"/>
          <w:color w:val="000000"/>
          <w:kern w:val="0"/>
          <w:sz w:val="32"/>
          <w:szCs w:val="32"/>
        </w:rPr>
        <w:t>委员会审议</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院长办公会研究通过，现印发给你们，请认真遵照执行。</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jc w:val="both"/>
        <w:textAlignment w:val="auto"/>
        <w:outlineLvl w:val="9"/>
        <w:rPr>
          <w:rFonts w:hint="eastAsia" w:ascii="仿宋" w:hAnsi="仿宋" w:eastAsia="仿宋" w:cs="仿宋"/>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附件：泉州师范学院教学成果奖评选办法</w:t>
      </w:r>
      <w:r>
        <w:rPr>
          <w:rFonts w:hint="eastAsia" w:ascii="仿宋" w:hAnsi="仿宋" w:eastAsia="仿宋" w:cs="仿宋"/>
          <w:color w:val="000000"/>
          <w:kern w:val="0"/>
          <w:sz w:val="32"/>
          <w:szCs w:val="32"/>
          <w:lang w:eastAsia="zh-CN"/>
        </w:rPr>
        <w:t>（试行）</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800" w:firstLineChars="250"/>
        <w:jc w:val="both"/>
        <w:textAlignment w:val="auto"/>
        <w:outlineLvl w:val="9"/>
        <w:rPr>
          <w:rFonts w:hint="eastAsia" w:ascii="仿宋" w:hAnsi="仿宋" w:eastAsia="仿宋" w:cs="仿宋"/>
          <w:sz w:val="32"/>
          <w:szCs w:val="32"/>
        </w:rPr>
      </w:pPr>
      <w:r>
        <w:rPr>
          <w:rFonts w:hint="eastAsia" w:ascii="仿宋" w:hAnsi="仿宋" w:eastAsia="仿宋" w:cs="仿宋"/>
          <w:color w:val="000000"/>
          <w:kern w:val="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jc w:val="both"/>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xml:space="preserve">                                  泉州师范学院</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jc w:val="both"/>
        <w:textAlignment w:val="auto"/>
        <w:outlineLvl w:val="9"/>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xml:space="preserve">                                 201</w:t>
      </w:r>
      <w:r>
        <w:rPr>
          <w:rFonts w:hint="eastAsia" w:ascii="仿宋" w:hAnsi="仿宋" w:eastAsia="仿宋" w:cs="仿宋"/>
          <w:color w:val="000000"/>
          <w:kern w:val="0"/>
          <w:sz w:val="32"/>
          <w:szCs w:val="32"/>
          <w:lang w:val="en-US" w:eastAsia="zh-CN"/>
        </w:rPr>
        <w:t>7</w:t>
      </w:r>
      <w:r>
        <w:rPr>
          <w:rFonts w:hint="eastAsia" w:ascii="仿宋" w:hAnsi="仿宋" w:eastAsia="仿宋" w:cs="仿宋"/>
          <w:color w:val="000000"/>
          <w:kern w:val="0"/>
          <w:sz w:val="32"/>
          <w:szCs w:val="32"/>
        </w:rPr>
        <w:t>年</w:t>
      </w:r>
      <w:r>
        <w:rPr>
          <w:rFonts w:hint="eastAsia" w:ascii="仿宋" w:hAnsi="仿宋" w:eastAsia="仿宋" w:cs="仿宋"/>
          <w:color w:val="000000"/>
          <w:kern w:val="0"/>
          <w:sz w:val="32"/>
          <w:szCs w:val="32"/>
          <w:lang w:val="en-US" w:eastAsia="zh-CN"/>
        </w:rPr>
        <w:t>5</w:t>
      </w:r>
      <w:r>
        <w:rPr>
          <w:rFonts w:hint="eastAsia" w:ascii="仿宋" w:hAnsi="仿宋" w:eastAsia="仿宋" w:cs="仿宋"/>
          <w:color w:val="000000"/>
          <w:kern w:val="0"/>
          <w:sz w:val="32"/>
          <w:szCs w:val="32"/>
        </w:rPr>
        <w:t>月18日</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leftChars="0" w:right="0" w:rightChars="0"/>
        <w:jc w:val="both"/>
        <w:textAlignment w:val="auto"/>
        <w:outlineLvl w:val="9"/>
        <w:rPr>
          <w:rFonts w:hint="eastAsia" w:ascii="仿宋" w:hAnsi="仿宋" w:eastAsia="仿宋" w:cs="仿宋"/>
          <w:color w:val="000000"/>
          <w:kern w:val="0"/>
          <w:sz w:val="32"/>
          <w:szCs w:val="32"/>
        </w:rPr>
      </w:pPr>
    </w:p>
    <w:tbl>
      <w:tblPr>
        <w:tblStyle w:val="15"/>
        <w:tblW w:w="8520" w:type="dxa"/>
        <w:tblInd w:w="0" w:type="dxa"/>
        <w:tblBorders>
          <w:top w:val="single" w:color="auto" w:sz="12" w:space="0"/>
          <w:left w:val="none" w:color="auto" w:sz="0" w:space="0"/>
          <w:bottom w:val="single" w:color="auto" w:sz="12" w:space="0"/>
          <w:right w:val="none" w:color="auto" w:sz="0" w:space="0"/>
          <w:insideH w:val="single" w:color="auto" w:sz="2" w:space="0"/>
          <w:insideV w:val="none" w:color="auto" w:sz="0" w:space="0"/>
        </w:tblBorders>
        <w:tblLayout w:type="fixed"/>
        <w:tblCellMar>
          <w:top w:w="0" w:type="dxa"/>
          <w:left w:w="108" w:type="dxa"/>
          <w:bottom w:w="0" w:type="dxa"/>
          <w:right w:w="108" w:type="dxa"/>
        </w:tblCellMar>
      </w:tblPr>
      <w:tblGrid>
        <w:gridCol w:w="8520"/>
      </w:tblGrid>
      <w:tr>
        <w:tblPrEx>
          <w:tblBorders>
            <w:top w:val="single" w:color="auto" w:sz="12" w:space="0"/>
            <w:left w:val="none" w:color="auto" w:sz="0" w:space="0"/>
            <w:bottom w:val="single" w:color="auto" w:sz="12" w:space="0"/>
            <w:right w:val="none" w:color="auto" w:sz="0" w:space="0"/>
            <w:insideH w:val="single" w:color="auto" w:sz="2" w:space="0"/>
            <w:insideV w:val="none" w:color="auto" w:sz="0" w:space="0"/>
          </w:tblBorders>
          <w:tblLayout w:type="fixed"/>
          <w:tblCellMar>
            <w:top w:w="0" w:type="dxa"/>
            <w:left w:w="108" w:type="dxa"/>
            <w:bottom w:w="0" w:type="dxa"/>
            <w:right w:w="108" w:type="dxa"/>
          </w:tblCellMar>
        </w:tblPrEx>
        <w:trPr>
          <w:trHeight w:val="475" w:hRule="atLeast"/>
        </w:trPr>
        <w:tc>
          <w:tcPr>
            <w:tcW w:w="8520" w:type="dxa"/>
            <w:tcBorders>
              <w:tl2br w:val="nil"/>
              <w:tr2bl w:val="nil"/>
            </w:tcBorders>
            <w:vAlign w:val="top"/>
          </w:tcPr>
          <w:p>
            <w:pPr>
              <w:keepNext w:val="0"/>
              <w:keepLines w:val="0"/>
              <w:pageBreakBefore w:val="0"/>
              <w:widowControl/>
              <w:kinsoku/>
              <w:wordWrap/>
              <w:overflowPunct/>
              <w:topLinePunct w:val="0"/>
              <w:autoSpaceDE/>
              <w:autoSpaceDN/>
              <w:bidi w:val="0"/>
              <w:adjustRightInd/>
              <w:snapToGrid/>
              <w:spacing w:line="500" w:lineRule="exact"/>
              <w:ind w:right="0" w:rightChars="0"/>
              <w:jc w:val="both"/>
              <w:textAlignment w:val="auto"/>
              <w:outlineLvl w:val="9"/>
              <w:rPr>
                <w:rFonts w:hint="eastAsia" w:ascii="仿宋" w:hAnsi="仿宋" w:eastAsia="仿宋" w:cs="仿宋"/>
                <w:color w:val="000000"/>
                <w:kern w:val="0"/>
                <w:sz w:val="32"/>
                <w:szCs w:val="32"/>
                <w:vertAlign w:val="baseline"/>
              </w:rPr>
            </w:pPr>
            <w:r>
              <w:rPr>
                <w:rFonts w:hint="eastAsia" w:ascii="仿宋" w:hAnsi="仿宋" w:eastAsia="仿宋" w:cs="仿宋"/>
                <w:sz w:val="32"/>
                <w:szCs w:val="32"/>
                <w:u w:val="none"/>
                <w:lang w:val="en-US" w:eastAsia="zh-CN"/>
              </w:rPr>
              <w:t xml:space="preserve">  </w:t>
            </w:r>
            <w:r>
              <w:rPr>
                <w:rFonts w:hint="eastAsia" w:ascii="仿宋" w:hAnsi="仿宋" w:eastAsia="仿宋" w:cs="仿宋"/>
                <w:sz w:val="32"/>
                <w:szCs w:val="32"/>
                <w:u w:val="none"/>
              </w:rPr>
              <w:t xml:space="preserve">抄送：校领导，有关处室。                               </w:t>
            </w:r>
          </w:p>
        </w:tc>
      </w:tr>
      <w:tr>
        <w:tblPrEx>
          <w:tblBorders>
            <w:top w:val="single" w:color="auto" w:sz="12" w:space="0"/>
            <w:left w:val="none" w:color="auto" w:sz="0" w:space="0"/>
            <w:bottom w:val="single" w:color="auto" w:sz="12" w:space="0"/>
            <w:right w:val="none" w:color="auto" w:sz="0" w:space="0"/>
            <w:insideH w:val="single" w:color="auto" w:sz="2" w:space="0"/>
            <w:insideV w:val="none" w:color="auto" w:sz="0" w:space="0"/>
          </w:tblBorders>
          <w:tblLayout w:type="fixed"/>
          <w:tblCellMar>
            <w:top w:w="0" w:type="dxa"/>
            <w:left w:w="108" w:type="dxa"/>
            <w:bottom w:w="0" w:type="dxa"/>
            <w:right w:w="108" w:type="dxa"/>
          </w:tblCellMar>
        </w:tblPrEx>
        <w:trPr>
          <w:trHeight w:val="498" w:hRule="atLeast"/>
        </w:trPr>
        <w:tc>
          <w:tcPr>
            <w:tcW w:w="8520" w:type="dxa"/>
            <w:tcBorders>
              <w:tl2br w:val="nil"/>
              <w:tr2bl w:val="nil"/>
            </w:tcBorders>
            <w:vAlign w:val="top"/>
          </w:tcPr>
          <w:p>
            <w:pPr>
              <w:keepNext w:val="0"/>
              <w:keepLines w:val="0"/>
              <w:pageBreakBefore w:val="0"/>
              <w:widowControl/>
              <w:kinsoku/>
              <w:wordWrap/>
              <w:overflowPunct/>
              <w:topLinePunct w:val="0"/>
              <w:autoSpaceDE/>
              <w:autoSpaceDN/>
              <w:bidi w:val="0"/>
              <w:adjustRightInd/>
              <w:snapToGrid/>
              <w:spacing w:line="500" w:lineRule="exact"/>
              <w:ind w:right="0" w:rightChars="0"/>
              <w:jc w:val="both"/>
              <w:textAlignment w:val="auto"/>
              <w:outlineLvl w:val="9"/>
              <w:rPr>
                <w:rFonts w:hint="eastAsia" w:ascii="仿宋" w:hAnsi="仿宋" w:eastAsia="仿宋" w:cs="仿宋"/>
                <w:color w:val="000000"/>
                <w:kern w:val="0"/>
                <w:sz w:val="32"/>
                <w:szCs w:val="32"/>
                <w:vertAlign w:val="baseline"/>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泉州师范学院办公室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201</w:t>
            </w:r>
            <w:r>
              <w:rPr>
                <w:rFonts w:hint="eastAsia" w:ascii="仿宋" w:hAnsi="仿宋" w:eastAsia="仿宋" w:cs="仿宋"/>
                <w:sz w:val="32"/>
                <w:szCs w:val="32"/>
                <w:lang w:val="en-US" w:eastAsia="zh-CN"/>
              </w:rPr>
              <w:t>7</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月18日印发</w:t>
            </w:r>
          </w:p>
        </w:tc>
      </w:tr>
    </w:tbl>
    <w:p>
      <w:pPr>
        <w:widowControl/>
        <w:spacing w:line="440" w:lineRule="exact"/>
        <w:jc w:val="left"/>
        <w:outlineLvl w:val="0"/>
        <w:rPr>
          <w:rFonts w:hint="eastAsia" w:ascii="宋体" w:hAnsi="宋体"/>
          <w:sz w:val="28"/>
          <w:szCs w:val="28"/>
          <w:lang w:eastAsia="zh-CN"/>
        </w:rPr>
      </w:pPr>
      <w:r>
        <w:rPr>
          <w:rFonts w:hint="eastAsia" w:ascii="宋体" w:hAnsi="宋体"/>
          <w:sz w:val="28"/>
          <w:szCs w:val="28"/>
          <w:lang w:eastAsia="zh-CN"/>
        </w:rPr>
        <w:t>附件：</w:t>
      </w:r>
    </w:p>
    <w:p>
      <w:pPr>
        <w:widowControl/>
        <w:spacing w:line="440" w:lineRule="exact"/>
        <w:jc w:val="center"/>
        <w:outlineLvl w:val="0"/>
        <w:rPr>
          <w:rFonts w:ascii="仿宋" w:hAnsi="仿宋" w:eastAsia="仿宋" w:cs="仿宋"/>
          <w:kern w:val="36"/>
          <w:sz w:val="28"/>
          <w:szCs w:val="28"/>
        </w:rPr>
      </w:pPr>
    </w:p>
    <w:p>
      <w:pPr>
        <w:widowControl/>
        <w:spacing w:line="440" w:lineRule="exact"/>
        <w:jc w:val="center"/>
        <w:outlineLvl w:val="0"/>
        <w:rPr>
          <w:rFonts w:hint="eastAsia" w:asciiTheme="majorEastAsia" w:hAnsiTheme="majorEastAsia" w:eastAsiaTheme="majorEastAsia" w:cstheme="majorEastAsia"/>
          <w:b/>
          <w:bCs/>
          <w:kern w:val="36"/>
          <w:sz w:val="36"/>
          <w:szCs w:val="36"/>
        </w:rPr>
      </w:pPr>
      <w:r>
        <w:rPr>
          <w:rFonts w:hint="eastAsia" w:asciiTheme="majorEastAsia" w:hAnsiTheme="majorEastAsia" w:eastAsiaTheme="majorEastAsia" w:cstheme="majorEastAsia"/>
          <w:b/>
          <w:bCs/>
          <w:kern w:val="36"/>
          <w:sz w:val="36"/>
          <w:szCs w:val="36"/>
        </w:rPr>
        <w:t>泉州师范学院教学成果奖评选办法</w:t>
      </w:r>
      <w:r>
        <w:rPr>
          <w:rFonts w:hint="eastAsia" w:asciiTheme="majorEastAsia" w:hAnsiTheme="majorEastAsia" w:eastAsiaTheme="majorEastAsia" w:cstheme="majorEastAsia"/>
          <w:b/>
          <w:bCs/>
          <w:kern w:val="36"/>
          <w:sz w:val="36"/>
          <w:szCs w:val="36"/>
          <w:lang w:eastAsia="zh-CN"/>
        </w:rPr>
        <w:t>（试行）</w:t>
      </w:r>
    </w:p>
    <w:p>
      <w:pPr>
        <w:widowControl/>
        <w:numPr>
          <w:ilvl w:val="0"/>
          <w:numId w:val="1"/>
        </w:numPr>
        <w:spacing w:line="440" w:lineRule="exact"/>
        <w:jc w:val="center"/>
        <w:outlineLvl w:val="1"/>
        <w:rPr>
          <w:rFonts w:ascii="仿宋" w:hAnsi="仿宋" w:eastAsia="仿宋" w:cs="仿宋"/>
          <w:b/>
          <w:bCs/>
          <w:kern w:val="0"/>
          <w:sz w:val="28"/>
          <w:szCs w:val="28"/>
        </w:rPr>
      </w:pPr>
      <w:r>
        <w:rPr>
          <w:rFonts w:ascii="仿宋" w:hAnsi="仿宋" w:eastAsia="仿宋" w:cs="仿宋"/>
          <w:b/>
          <w:bCs/>
          <w:kern w:val="0"/>
          <w:sz w:val="28"/>
          <w:szCs w:val="28"/>
        </w:rPr>
        <w:t xml:space="preserve">  </w:t>
      </w:r>
      <w:r>
        <w:rPr>
          <w:rFonts w:hint="eastAsia" w:ascii="仿宋" w:hAnsi="仿宋" w:eastAsia="仿宋" w:cs="仿宋"/>
          <w:b/>
          <w:bCs/>
          <w:kern w:val="0"/>
          <w:sz w:val="28"/>
          <w:szCs w:val="28"/>
        </w:rPr>
        <w:t>总</w:t>
      </w:r>
      <w:r>
        <w:rPr>
          <w:rFonts w:ascii="仿宋" w:hAnsi="仿宋" w:eastAsia="仿宋" w:cs="仿宋"/>
          <w:b/>
          <w:bCs/>
          <w:kern w:val="0"/>
          <w:sz w:val="28"/>
          <w:szCs w:val="28"/>
        </w:rPr>
        <w:t xml:space="preserve">  </w:t>
      </w:r>
      <w:r>
        <w:rPr>
          <w:rFonts w:hint="eastAsia" w:ascii="仿宋" w:hAnsi="仿宋" w:eastAsia="仿宋" w:cs="仿宋"/>
          <w:b/>
          <w:bCs/>
          <w:kern w:val="0"/>
          <w:sz w:val="28"/>
          <w:szCs w:val="28"/>
        </w:rPr>
        <w:t>则</w:t>
      </w:r>
    </w:p>
    <w:p>
      <w:pPr>
        <w:widowControl/>
        <w:spacing w:line="440" w:lineRule="exact"/>
        <w:ind w:firstLine="31680" w:firstLineChars="200"/>
        <w:jc w:val="left"/>
        <w:rPr>
          <w:rFonts w:ascii="仿宋" w:hAnsi="仿宋" w:eastAsia="仿宋" w:cs="仿宋"/>
          <w:kern w:val="0"/>
          <w:sz w:val="28"/>
          <w:szCs w:val="28"/>
        </w:rPr>
      </w:pPr>
      <w:r>
        <w:rPr>
          <w:rFonts w:hint="eastAsia" w:ascii="仿宋" w:hAnsi="仿宋" w:eastAsia="仿宋" w:cs="仿宋"/>
          <w:kern w:val="0"/>
          <w:sz w:val="28"/>
          <w:szCs w:val="28"/>
        </w:rPr>
        <w:t>第一条</w:t>
      </w:r>
      <w:r>
        <w:rPr>
          <w:rFonts w:ascii="仿宋" w:hAnsi="仿宋" w:eastAsia="仿宋" w:cs="仿宋"/>
          <w:kern w:val="0"/>
          <w:sz w:val="28"/>
          <w:szCs w:val="28"/>
        </w:rPr>
        <w:t xml:space="preserve">  </w:t>
      </w:r>
      <w:r>
        <w:rPr>
          <w:rFonts w:hint="eastAsia" w:ascii="仿宋" w:hAnsi="仿宋" w:eastAsia="仿宋" w:cs="仿宋"/>
          <w:kern w:val="0"/>
          <w:sz w:val="28"/>
          <w:szCs w:val="28"/>
        </w:rPr>
        <w:t>为奖励在教育教学工作中取得显著成果的集体和个人，发挥教学成果的引领激励作用，不断提高教学水平和教育质量，根据国务院《教学成果奖奖励条例》，结合我校实际，制定本办法。</w:t>
      </w:r>
    </w:p>
    <w:p>
      <w:pPr>
        <w:widowControl/>
        <w:spacing w:line="440" w:lineRule="exact"/>
        <w:ind w:firstLine="31680" w:firstLineChars="200"/>
        <w:jc w:val="left"/>
        <w:rPr>
          <w:rFonts w:hint="eastAsia" w:ascii="仿宋" w:hAnsi="仿宋" w:eastAsia="仿宋" w:cs="仿宋"/>
          <w:kern w:val="0"/>
          <w:sz w:val="28"/>
          <w:szCs w:val="28"/>
        </w:rPr>
      </w:pPr>
      <w:r>
        <w:rPr>
          <w:rFonts w:hint="eastAsia" w:ascii="仿宋" w:hAnsi="仿宋" w:eastAsia="仿宋" w:cs="仿宋"/>
          <w:b/>
          <w:bCs/>
          <w:kern w:val="0"/>
          <w:sz w:val="28"/>
          <w:szCs w:val="28"/>
        </w:rPr>
        <w:t>第二条</w:t>
      </w:r>
      <w:r>
        <w:rPr>
          <w:rFonts w:ascii="仿宋" w:hAnsi="仿宋" w:eastAsia="仿宋" w:cs="仿宋"/>
          <w:kern w:val="0"/>
          <w:sz w:val="28"/>
          <w:szCs w:val="28"/>
        </w:rPr>
        <w:t xml:space="preserve">  </w:t>
      </w:r>
      <w:r>
        <w:rPr>
          <w:rFonts w:hint="eastAsia" w:ascii="仿宋" w:hAnsi="仿宋" w:eastAsia="仿宋" w:cs="仿宋"/>
          <w:kern w:val="0"/>
          <w:sz w:val="28"/>
          <w:szCs w:val="28"/>
        </w:rPr>
        <w:t>泉州师范学院教学成果奖设特等奖、一等奖和二等奖，学校将从校教学成果奖获奖项目中择优推荐申报省级以上教学成果奖。</w:t>
      </w:r>
    </w:p>
    <w:p>
      <w:pPr>
        <w:widowControl/>
        <w:spacing w:line="440" w:lineRule="exact"/>
        <w:ind w:firstLine="31680" w:firstLineChars="200"/>
        <w:jc w:val="left"/>
        <w:rPr>
          <w:rFonts w:hint="eastAsia" w:ascii="仿宋" w:hAnsi="仿宋" w:eastAsia="仿宋" w:cs="仿宋"/>
          <w:kern w:val="0"/>
          <w:sz w:val="28"/>
          <w:szCs w:val="28"/>
        </w:rPr>
      </w:pPr>
      <w:r>
        <w:rPr>
          <w:rFonts w:hint="eastAsia" w:ascii="仿宋" w:hAnsi="仿宋" w:eastAsia="仿宋" w:cs="仿宋"/>
          <w:b/>
          <w:bCs/>
          <w:kern w:val="0"/>
          <w:sz w:val="28"/>
          <w:szCs w:val="28"/>
        </w:rPr>
        <w:t>第三条</w:t>
      </w:r>
      <w:r>
        <w:rPr>
          <w:rFonts w:ascii="仿宋" w:hAnsi="仿宋" w:eastAsia="仿宋" w:cs="仿宋"/>
          <w:kern w:val="0"/>
          <w:sz w:val="28"/>
          <w:szCs w:val="28"/>
        </w:rPr>
        <w:t xml:space="preserve">  </w:t>
      </w:r>
      <w:r>
        <w:rPr>
          <w:rFonts w:hint="eastAsia" w:ascii="仿宋" w:hAnsi="仿宋" w:eastAsia="仿宋" w:cs="仿宋"/>
          <w:kern w:val="0"/>
          <w:sz w:val="28"/>
          <w:szCs w:val="28"/>
        </w:rPr>
        <w:t>泉州师范学院教学成果奖原则上每两年评审一次</w:t>
      </w:r>
      <w:r>
        <w:rPr>
          <w:rFonts w:hint="eastAsia" w:ascii="仿宋" w:hAnsi="仿宋" w:eastAsia="仿宋" w:cs="仿宋"/>
          <w:kern w:val="0"/>
          <w:sz w:val="28"/>
          <w:szCs w:val="28"/>
          <w:lang w:eastAsia="zh-CN"/>
        </w:rPr>
        <w:t>，每次评选</w:t>
      </w:r>
      <w:r>
        <w:rPr>
          <w:rFonts w:hint="eastAsia" w:ascii="仿宋" w:hAnsi="仿宋" w:eastAsia="仿宋" w:cs="仿宋"/>
          <w:kern w:val="0"/>
          <w:sz w:val="28"/>
          <w:szCs w:val="28"/>
          <w:lang w:val="en-US" w:eastAsia="zh-CN"/>
        </w:rPr>
        <w:t>30项左右</w:t>
      </w:r>
      <w:r>
        <w:rPr>
          <w:rFonts w:hint="eastAsia" w:ascii="仿宋" w:hAnsi="仿宋" w:eastAsia="仿宋" w:cs="仿宋"/>
          <w:kern w:val="0"/>
          <w:sz w:val="28"/>
          <w:szCs w:val="28"/>
        </w:rPr>
        <w:t>。评选要坚持公平、公正、公开及质量优先、综合权衡的原则。</w:t>
      </w:r>
    </w:p>
    <w:p>
      <w:pPr>
        <w:widowControl/>
        <w:spacing w:line="440" w:lineRule="exact"/>
        <w:jc w:val="center"/>
        <w:outlineLvl w:val="1"/>
        <w:rPr>
          <w:rFonts w:ascii="仿宋" w:hAnsi="仿宋" w:eastAsia="仿宋" w:cs="仿宋"/>
          <w:b/>
          <w:bCs/>
          <w:kern w:val="0"/>
          <w:sz w:val="28"/>
          <w:szCs w:val="28"/>
        </w:rPr>
      </w:pPr>
      <w:r>
        <w:rPr>
          <w:rFonts w:hint="eastAsia" w:ascii="仿宋" w:hAnsi="仿宋" w:eastAsia="仿宋" w:cs="仿宋"/>
          <w:b/>
          <w:bCs/>
          <w:kern w:val="0"/>
          <w:sz w:val="28"/>
          <w:szCs w:val="28"/>
        </w:rPr>
        <w:t>第二章</w:t>
      </w:r>
      <w:r>
        <w:rPr>
          <w:rFonts w:ascii="仿宋" w:hAnsi="仿宋" w:eastAsia="仿宋" w:cs="仿宋"/>
          <w:b/>
          <w:bCs/>
          <w:kern w:val="0"/>
          <w:sz w:val="28"/>
          <w:szCs w:val="28"/>
        </w:rPr>
        <w:t xml:space="preserve">  </w:t>
      </w:r>
      <w:r>
        <w:rPr>
          <w:rFonts w:hint="eastAsia" w:ascii="仿宋" w:hAnsi="仿宋" w:eastAsia="仿宋" w:cs="仿宋"/>
          <w:b/>
          <w:bCs/>
          <w:kern w:val="0"/>
          <w:sz w:val="28"/>
          <w:szCs w:val="28"/>
        </w:rPr>
        <w:t>奖励的范围、标准和对象</w:t>
      </w:r>
    </w:p>
    <w:p>
      <w:pPr>
        <w:widowControl/>
        <w:spacing w:line="440" w:lineRule="exact"/>
        <w:ind w:firstLine="31680" w:firstLineChars="196"/>
        <w:jc w:val="left"/>
        <w:rPr>
          <w:rFonts w:ascii="仿宋" w:hAnsi="仿宋" w:eastAsia="仿宋" w:cs="仿宋"/>
          <w:kern w:val="0"/>
          <w:sz w:val="28"/>
          <w:szCs w:val="28"/>
        </w:rPr>
      </w:pPr>
      <w:r>
        <w:rPr>
          <w:rFonts w:hint="eastAsia" w:ascii="仿宋" w:hAnsi="仿宋" w:eastAsia="仿宋" w:cs="仿宋"/>
          <w:b/>
          <w:bCs/>
          <w:kern w:val="0"/>
          <w:sz w:val="28"/>
          <w:szCs w:val="28"/>
        </w:rPr>
        <w:t>第四条</w:t>
      </w:r>
      <w:r>
        <w:rPr>
          <w:rFonts w:ascii="仿宋" w:hAnsi="仿宋" w:eastAsia="仿宋" w:cs="仿宋"/>
          <w:kern w:val="0"/>
          <w:sz w:val="28"/>
          <w:szCs w:val="28"/>
        </w:rPr>
        <w:t xml:space="preserve">  </w:t>
      </w:r>
      <w:r>
        <w:rPr>
          <w:rFonts w:hint="eastAsia" w:ascii="仿宋" w:hAnsi="仿宋" w:eastAsia="仿宋" w:cs="仿宋"/>
          <w:kern w:val="0"/>
          <w:sz w:val="28"/>
          <w:szCs w:val="28"/>
        </w:rPr>
        <w:t>教学成果是指反映教育教学规律，具有独创性、新颖性、实用性，对提高教学水平和教育质量，实现培养目标</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产生明显成效的教育教学方案，包括：</w:t>
      </w:r>
    </w:p>
    <w:p>
      <w:pPr>
        <w:widowControl/>
        <w:spacing w:line="440" w:lineRule="exact"/>
        <w:ind w:firstLine="31680" w:firstLineChars="200"/>
        <w:jc w:val="left"/>
        <w:rPr>
          <w:rFonts w:ascii="仿宋" w:hAnsi="仿宋" w:eastAsia="仿宋" w:cs="仿宋"/>
          <w:kern w:val="0"/>
          <w:sz w:val="28"/>
          <w:szCs w:val="28"/>
        </w:rPr>
      </w:pPr>
      <w:r>
        <w:rPr>
          <w:rFonts w:hint="eastAsia" w:ascii="仿宋" w:hAnsi="仿宋" w:eastAsia="仿宋" w:cs="仿宋"/>
          <w:kern w:val="0"/>
          <w:sz w:val="28"/>
          <w:szCs w:val="28"/>
        </w:rPr>
        <w:t>（一）针对教育对象的特点和人才培养目标的要求，在转变教育思想，创新人才培养模式，优化培养方案，改革课程体系，更新教学内容，改进教学方法、实验技术，全面推进素质教育、创新创业教育，培养学生的创新创业精神和实践能力，促进学生知识、能力、素质综合提高，德、智、体、美等全面发展，提高教学水平和教育质量等方面的成果。</w:t>
      </w:r>
    </w:p>
    <w:p>
      <w:pPr>
        <w:widowControl/>
        <w:spacing w:line="440" w:lineRule="exact"/>
        <w:ind w:firstLine="31680" w:firstLineChars="200"/>
        <w:jc w:val="left"/>
        <w:rPr>
          <w:rFonts w:ascii="仿宋" w:hAnsi="仿宋" w:eastAsia="仿宋" w:cs="仿宋"/>
          <w:kern w:val="0"/>
          <w:sz w:val="28"/>
          <w:szCs w:val="28"/>
        </w:rPr>
      </w:pPr>
      <w:r>
        <w:rPr>
          <w:rFonts w:hint="eastAsia" w:ascii="仿宋" w:hAnsi="仿宋" w:eastAsia="仿宋" w:cs="仿宋"/>
          <w:kern w:val="0"/>
          <w:sz w:val="28"/>
          <w:szCs w:val="28"/>
        </w:rPr>
        <w:t>（二）根据教育目的和教育教学规律，在组织教学工作，推动教学改革，加强专业（学科）、教师队伍、实验实习基地、学风建设和现代化教育技术应用，促进产学研结合与各种合作办学，开展质量保证与监控工作，建立自我约束自我发展的机制，实现教学管理科学化、规范化和信息化等方面的成果。</w:t>
      </w:r>
    </w:p>
    <w:p>
      <w:pPr>
        <w:widowControl/>
        <w:spacing w:line="440" w:lineRule="exact"/>
        <w:ind w:firstLine="31680" w:firstLineChars="200"/>
        <w:jc w:val="left"/>
        <w:rPr>
          <w:rFonts w:ascii="仿宋" w:hAnsi="仿宋" w:eastAsia="仿宋" w:cs="仿宋"/>
          <w:kern w:val="0"/>
          <w:sz w:val="28"/>
          <w:szCs w:val="28"/>
        </w:rPr>
      </w:pPr>
      <w:r>
        <w:rPr>
          <w:rFonts w:hint="eastAsia" w:ascii="仿宋" w:hAnsi="仿宋" w:eastAsia="仿宋" w:cs="仿宋"/>
          <w:kern w:val="0"/>
          <w:sz w:val="28"/>
          <w:szCs w:val="28"/>
        </w:rPr>
        <w:t>（三）结合自身特点，推广、应用已有的教学成果，并在实践中进一步创新和发展，显著提高办学效益和人才培养质量等方面的成果。</w:t>
      </w:r>
    </w:p>
    <w:p>
      <w:pPr>
        <w:widowControl/>
        <w:spacing w:line="440" w:lineRule="exact"/>
        <w:ind w:firstLine="31680" w:firstLineChars="200"/>
        <w:jc w:val="left"/>
        <w:rPr>
          <w:rFonts w:ascii="仿宋" w:hAnsi="仿宋" w:eastAsia="仿宋" w:cs="仿宋"/>
          <w:kern w:val="0"/>
          <w:sz w:val="28"/>
          <w:szCs w:val="28"/>
        </w:rPr>
      </w:pPr>
      <w:r>
        <w:rPr>
          <w:rFonts w:hint="eastAsia" w:ascii="仿宋" w:hAnsi="仿宋" w:eastAsia="仿宋" w:cs="仿宋"/>
          <w:b/>
          <w:bCs/>
          <w:kern w:val="0"/>
          <w:sz w:val="28"/>
          <w:szCs w:val="28"/>
        </w:rPr>
        <w:t>第五条</w:t>
      </w:r>
      <w:r>
        <w:rPr>
          <w:rFonts w:ascii="仿宋" w:hAnsi="仿宋" w:eastAsia="仿宋" w:cs="仿宋"/>
          <w:kern w:val="0"/>
          <w:sz w:val="28"/>
          <w:szCs w:val="28"/>
        </w:rPr>
        <w:t xml:space="preserve">  </w:t>
      </w:r>
      <w:r>
        <w:rPr>
          <w:rFonts w:hint="eastAsia" w:ascii="仿宋" w:hAnsi="仿宋" w:eastAsia="仿宋" w:cs="仿宋"/>
          <w:kern w:val="0"/>
          <w:sz w:val="28"/>
          <w:szCs w:val="28"/>
        </w:rPr>
        <w:t>符合国家的教育方针和政策，满足第四条且经过两年以上教育教学实践检验（实践检验的起始时间，应从正式实施教育教学方案的时间开始计算，不含研讨、论证及制定方案的时间。截止时间为推荐校级教学成果奖的时间）、并且达到以下标准的成果可获得相应级别的校级教学成果奖：</w:t>
      </w:r>
    </w:p>
    <w:p>
      <w:pPr>
        <w:widowControl/>
        <w:spacing w:line="440" w:lineRule="exact"/>
        <w:ind w:firstLine="31680" w:firstLineChars="200"/>
        <w:jc w:val="left"/>
        <w:rPr>
          <w:rFonts w:ascii="仿宋" w:hAnsi="仿宋" w:eastAsia="仿宋" w:cs="仿宋"/>
          <w:kern w:val="0"/>
          <w:sz w:val="28"/>
          <w:szCs w:val="28"/>
        </w:rPr>
      </w:pPr>
      <w:r>
        <w:rPr>
          <w:rFonts w:hint="eastAsia" w:ascii="仿宋" w:hAnsi="仿宋" w:eastAsia="仿宋" w:cs="仿宋"/>
          <w:kern w:val="0"/>
          <w:sz w:val="28"/>
          <w:szCs w:val="28"/>
        </w:rPr>
        <w:t>在教育教学改革方面取得重大突破，对提高教学质量、实现培养目标有突出贡献的，成果特别突出，达到省内领先水平的，可授予特等奖；在教育教学改革方面迈出重大步伐，达到校内领先水平的，并取得重大的人才培养成效的，可授予一等奖；达到校内先进水平，并取得较大的人才培养成效的，可授予二等奖。</w:t>
      </w:r>
    </w:p>
    <w:p>
      <w:pPr>
        <w:widowControl/>
        <w:spacing w:line="440" w:lineRule="exact"/>
        <w:ind w:firstLine="31680" w:firstLineChars="196"/>
        <w:rPr>
          <w:rFonts w:ascii="仿宋" w:hAnsi="仿宋" w:eastAsia="仿宋" w:cs="仿宋"/>
          <w:kern w:val="0"/>
          <w:sz w:val="28"/>
          <w:szCs w:val="28"/>
        </w:rPr>
      </w:pPr>
      <w:r>
        <w:rPr>
          <w:rFonts w:hint="eastAsia" w:ascii="仿宋" w:hAnsi="仿宋" w:eastAsia="仿宋" w:cs="仿宋"/>
          <w:b/>
          <w:bCs/>
          <w:kern w:val="0"/>
          <w:sz w:val="28"/>
          <w:szCs w:val="28"/>
        </w:rPr>
        <w:t>第六条</w:t>
      </w:r>
      <w:r>
        <w:rPr>
          <w:rFonts w:ascii="仿宋" w:hAnsi="仿宋" w:eastAsia="仿宋" w:cs="仿宋"/>
          <w:kern w:val="0"/>
          <w:sz w:val="28"/>
          <w:szCs w:val="28"/>
        </w:rPr>
        <w:t xml:space="preserve">  </w:t>
      </w:r>
      <w:r>
        <w:rPr>
          <w:rFonts w:hint="eastAsia" w:ascii="仿宋" w:hAnsi="仿宋" w:eastAsia="仿宋" w:cs="仿宋"/>
          <w:kern w:val="0"/>
          <w:sz w:val="28"/>
          <w:szCs w:val="28"/>
          <w:lang w:eastAsia="zh-CN"/>
        </w:rPr>
        <w:t>我校在职在岗专任</w:t>
      </w:r>
      <w:r>
        <w:rPr>
          <w:rFonts w:hint="eastAsia" w:ascii="仿宋" w:hAnsi="仿宋" w:eastAsia="仿宋" w:cs="仿宋"/>
          <w:kern w:val="0"/>
          <w:sz w:val="28"/>
          <w:szCs w:val="28"/>
        </w:rPr>
        <w:t>教师、教学辅助人员和教学管理人员，在我校教学中取得成果的学术团体、其他社会组织及个人均可依照本办法的规定申请泉州师范学院教学成果奖。</w:t>
      </w:r>
    </w:p>
    <w:p>
      <w:pPr>
        <w:widowControl/>
        <w:spacing w:line="440" w:lineRule="exact"/>
        <w:ind w:firstLine="31680" w:firstLineChars="196"/>
        <w:jc w:val="left"/>
        <w:rPr>
          <w:rFonts w:ascii="仿宋" w:hAnsi="仿宋" w:eastAsia="仿宋" w:cs="仿宋"/>
          <w:kern w:val="0"/>
          <w:sz w:val="28"/>
          <w:szCs w:val="28"/>
        </w:rPr>
      </w:pPr>
      <w:r>
        <w:rPr>
          <w:rFonts w:hint="eastAsia" w:ascii="仿宋" w:hAnsi="仿宋" w:eastAsia="仿宋" w:cs="仿宋"/>
          <w:b/>
          <w:bCs/>
          <w:kern w:val="0"/>
          <w:sz w:val="28"/>
          <w:szCs w:val="28"/>
        </w:rPr>
        <w:t>第七条</w:t>
      </w:r>
      <w:r>
        <w:rPr>
          <w:rFonts w:ascii="仿宋" w:hAnsi="仿宋" w:eastAsia="仿宋" w:cs="仿宋"/>
          <w:kern w:val="0"/>
          <w:sz w:val="28"/>
          <w:szCs w:val="28"/>
        </w:rPr>
        <w:t xml:space="preserve">  </w:t>
      </w:r>
      <w:r>
        <w:rPr>
          <w:rFonts w:hint="eastAsia" w:ascii="仿宋" w:hAnsi="仿宋" w:eastAsia="仿宋" w:cs="仿宋"/>
          <w:kern w:val="0"/>
          <w:sz w:val="28"/>
          <w:szCs w:val="28"/>
        </w:rPr>
        <w:t>在成果的方案设计、论证和实施过程中，作出主要贡献的单位，可作为成果的主要完成单位，申请校级奖时，每项成果的主要完成单位不得超过</w:t>
      </w:r>
      <w:r>
        <w:rPr>
          <w:rFonts w:ascii="仿宋" w:hAnsi="仿宋" w:eastAsia="仿宋" w:cs="仿宋"/>
          <w:kern w:val="0"/>
          <w:sz w:val="28"/>
          <w:szCs w:val="28"/>
        </w:rPr>
        <w:t xml:space="preserve"> 3</w:t>
      </w:r>
      <w:r>
        <w:rPr>
          <w:rFonts w:hint="eastAsia" w:ascii="仿宋" w:hAnsi="仿宋" w:eastAsia="仿宋" w:cs="仿宋"/>
          <w:kern w:val="0"/>
          <w:sz w:val="28"/>
          <w:szCs w:val="28"/>
        </w:rPr>
        <w:t>个。</w:t>
      </w:r>
    </w:p>
    <w:p>
      <w:pPr>
        <w:widowControl/>
        <w:spacing w:line="440" w:lineRule="exact"/>
        <w:ind w:firstLine="31680" w:firstLineChars="196"/>
        <w:jc w:val="left"/>
        <w:rPr>
          <w:rFonts w:ascii="仿宋" w:hAnsi="仿宋" w:eastAsia="仿宋" w:cs="仿宋"/>
          <w:kern w:val="0"/>
          <w:sz w:val="28"/>
          <w:szCs w:val="28"/>
        </w:rPr>
      </w:pPr>
      <w:r>
        <w:rPr>
          <w:rFonts w:hint="eastAsia" w:ascii="仿宋" w:hAnsi="仿宋" w:eastAsia="仿宋" w:cs="仿宋"/>
          <w:b/>
          <w:bCs/>
          <w:kern w:val="0"/>
          <w:sz w:val="28"/>
          <w:szCs w:val="28"/>
        </w:rPr>
        <w:t>第八条</w:t>
      </w:r>
      <w:r>
        <w:rPr>
          <w:rFonts w:ascii="仿宋" w:hAnsi="仿宋" w:eastAsia="仿宋" w:cs="仿宋"/>
          <w:kern w:val="0"/>
          <w:sz w:val="28"/>
          <w:szCs w:val="28"/>
        </w:rPr>
        <w:t xml:space="preserve">  </w:t>
      </w:r>
      <w:r>
        <w:rPr>
          <w:rFonts w:hint="eastAsia" w:ascii="仿宋" w:hAnsi="仿宋" w:eastAsia="仿宋" w:cs="仿宋"/>
          <w:kern w:val="0"/>
          <w:sz w:val="28"/>
          <w:szCs w:val="28"/>
        </w:rPr>
        <w:t>符合下列条件，可作为成果的主要完成人：</w:t>
      </w:r>
    </w:p>
    <w:p>
      <w:pPr>
        <w:widowControl/>
        <w:spacing w:line="440" w:lineRule="exact"/>
        <w:ind w:firstLine="31680" w:firstLineChars="150"/>
        <w:jc w:val="left"/>
        <w:rPr>
          <w:rFonts w:ascii="仿宋" w:hAnsi="仿宋" w:eastAsia="仿宋" w:cs="仿宋"/>
          <w:kern w:val="0"/>
          <w:sz w:val="28"/>
          <w:szCs w:val="28"/>
        </w:rPr>
      </w:pPr>
      <w:r>
        <w:rPr>
          <w:rFonts w:hint="eastAsia" w:ascii="仿宋" w:hAnsi="仿宋" w:eastAsia="仿宋" w:cs="仿宋"/>
          <w:kern w:val="0"/>
          <w:sz w:val="28"/>
          <w:szCs w:val="28"/>
        </w:rPr>
        <w:t>（一）热爱祖国，忠诚党的教育事业，全面贯彻党的教育方针，政治立场坚定，自觉践行社会主义核心价值观，模范遵纪守法，具有良好的思想品德和学风，为人师表。</w:t>
      </w:r>
    </w:p>
    <w:p>
      <w:pPr>
        <w:widowControl/>
        <w:spacing w:line="440" w:lineRule="exact"/>
        <w:ind w:firstLine="31680" w:firstLineChars="150"/>
        <w:jc w:val="left"/>
        <w:rPr>
          <w:rFonts w:ascii="仿宋" w:hAnsi="仿宋" w:eastAsia="仿宋" w:cs="仿宋"/>
          <w:kern w:val="0"/>
          <w:sz w:val="28"/>
          <w:szCs w:val="28"/>
        </w:rPr>
      </w:pPr>
      <w:r>
        <w:rPr>
          <w:rFonts w:hint="eastAsia" w:ascii="仿宋" w:hAnsi="仿宋" w:eastAsia="仿宋" w:cs="仿宋"/>
          <w:kern w:val="0"/>
          <w:sz w:val="28"/>
          <w:szCs w:val="28"/>
        </w:rPr>
        <w:t>（二）直接参加成果的方案设计、论证、研究和实施全过程，并做出主要贡献。</w:t>
      </w:r>
    </w:p>
    <w:p>
      <w:pPr>
        <w:widowControl/>
        <w:spacing w:line="440" w:lineRule="exact"/>
        <w:ind w:firstLine="31680" w:firstLineChars="200"/>
        <w:jc w:val="left"/>
        <w:rPr>
          <w:rFonts w:ascii="仿宋" w:hAnsi="仿宋" w:eastAsia="仿宋" w:cs="仿宋"/>
          <w:kern w:val="0"/>
          <w:sz w:val="28"/>
          <w:szCs w:val="28"/>
        </w:rPr>
      </w:pPr>
      <w:r>
        <w:rPr>
          <w:rFonts w:hint="eastAsia" w:ascii="仿宋" w:hAnsi="仿宋" w:eastAsia="仿宋" w:cs="仿宋"/>
          <w:kern w:val="0"/>
          <w:sz w:val="28"/>
          <w:szCs w:val="28"/>
        </w:rPr>
        <w:t>每项成果的主要完成人一般不超过</w:t>
      </w:r>
      <w:r>
        <w:rPr>
          <w:rFonts w:ascii="仿宋" w:hAnsi="仿宋" w:eastAsia="仿宋" w:cs="仿宋"/>
          <w:kern w:val="0"/>
          <w:sz w:val="28"/>
          <w:szCs w:val="28"/>
        </w:rPr>
        <w:t>8</w:t>
      </w:r>
      <w:r>
        <w:rPr>
          <w:rFonts w:hint="eastAsia" w:ascii="仿宋" w:hAnsi="仿宋" w:eastAsia="仿宋" w:cs="仿宋"/>
          <w:kern w:val="0"/>
          <w:sz w:val="28"/>
          <w:szCs w:val="28"/>
        </w:rPr>
        <w:t>人。</w:t>
      </w:r>
    </w:p>
    <w:p>
      <w:pPr>
        <w:widowControl/>
        <w:spacing w:line="440" w:lineRule="exact"/>
        <w:ind w:firstLine="31680" w:firstLineChars="196"/>
        <w:jc w:val="left"/>
        <w:rPr>
          <w:rFonts w:ascii="仿宋" w:hAnsi="仿宋" w:eastAsia="仿宋" w:cs="仿宋"/>
          <w:kern w:val="0"/>
          <w:sz w:val="28"/>
          <w:szCs w:val="28"/>
        </w:rPr>
      </w:pPr>
      <w:r>
        <w:rPr>
          <w:rFonts w:hint="eastAsia" w:ascii="仿宋" w:hAnsi="仿宋" w:eastAsia="仿宋" w:cs="仿宋"/>
          <w:b/>
          <w:bCs/>
          <w:kern w:val="0"/>
          <w:sz w:val="28"/>
          <w:szCs w:val="28"/>
        </w:rPr>
        <w:t>第九条</w:t>
      </w:r>
      <w:r>
        <w:rPr>
          <w:rFonts w:ascii="仿宋" w:hAnsi="仿宋" w:eastAsia="仿宋" w:cs="仿宋"/>
          <w:kern w:val="0"/>
          <w:sz w:val="28"/>
          <w:szCs w:val="28"/>
        </w:rPr>
        <w:t xml:space="preserve">  </w:t>
      </w:r>
      <w:r>
        <w:rPr>
          <w:rFonts w:hint="eastAsia" w:ascii="仿宋" w:hAnsi="仿宋" w:eastAsia="仿宋" w:cs="仿宋"/>
          <w:kern w:val="0"/>
          <w:sz w:val="28"/>
          <w:szCs w:val="28"/>
        </w:rPr>
        <w:t>对长期从事公共课、基础课的教师取得的成果，或经过教学改革立项及“本科教学工程”立项且教改水平显著的成果，在同等条件下优先予以评奖。</w:t>
      </w:r>
    </w:p>
    <w:p>
      <w:pPr>
        <w:widowControl/>
        <w:spacing w:line="440" w:lineRule="exact"/>
        <w:ind w:firstLine="31680" w:firstLineChars="150"/>
        <w:jc w:val="left"/>
        <w:rPr>
          <w:rFonts w:ascii="仿宋" w:hAnsi="仿宋" w:eastAsia="仿宋" w:cs="仿宋"/>
          <w:kern w:val="0"/>
          <w:sz w:val="28"/>
          <w:szCs w:val="28"/>
        </w:rPr>
      </w:pPr>
      <w:r>
        <w:rPr>
          <w:rFonts w:ascii="仿宋" w:hAnsi="仿宋" w:eastAsia="仿宋" w:cs="仿宋"/>
          <w:b/>
          <w:bCs/>
          <w:kern w:val="0"/>
          <w:sz w:val="28"/>
          <w:szCs w:val="28"/>
        </w:rPr>
        <w:t xml:space="preserve"> </w:t>
      </w:r>
      <w:r>
        <w:rPr>
          <w:rFonts w:hint="eastAsia" w:ascii="仿宋" w:hAnsi="仿宋" w:eastAsia="仿宋" w:cs="仿宋"/>
          <w:b/>
          <w:bCs/>
          <w:kern w:val="0"/>
          <w:sz w:val="28"/>
          <w:szCs w:val="28"/>
        </w:rPr>
        <w:t>第十条</w:t>
      </w:r>
      <w:r>
        <w:rPr>
          <w:rFonts w:ascii="仿宋" w:hAnsi="仿宋" w:eastAsia="仿宋" w:cs="仿宋"/>
          <w:kern w:val="0"/>
          <w:sz w:val="28"/>
          <w:szCs w:val="28"/>
        </w:rPr>
        <w:t xml:space="preserve">  </w:t>
      </w:r>
      <w:r>
        <w:rPr>
          <w:rFonts w:hint="eastAsia" w:ascii="仿宋" w:hAnsi="仿宋" w:eastAsia="仿宋" w:cs="仿宋"/>
          <w:kern w:val="0"/>
          <w:sz w:val="28"/>
          <w:szCs w:val="28"/>
        </w:rPr>
        <w:t>受过学校以上通报批评或处分的，不可作为成果的主要完成人。</w:t>
      </w:r>
    </w:p>
    <w:p>
      <w:pPr>
        <w:widowControl/>
        <w:spacing w:line="440" w:lineRule="exact"/>
        <w:jc w:val="center"/>
        <w:outlineLvl w:val="1"/>
        <w:rPr>
          <w:rFonts w:ascii="仿宋" w:hAnsi="仿宋" w:eastAsia="仿宋" w:cs="仿宋"/>
          <w:b/>
          <w:bCs/>
          <w:kern w:val="0"/>
          <w:sz w:val="28"/>
          <w:szCs w:val="28"/>
        </w:rPr>
      </w:pPr>
      <w:r>
        <w:rPr>
          <w:rFonts w:hint="eastAsia" w:ascii="仿宋" w:hAnsi="仿宋" w:eastAsia="仿宋" w:cs="仿宋"/>
          <w:b/>
          <w:bCs/>
          <w:kern w:val="0"/>
          <w:sz w:val="28"/>
          <w:szCs w:val="28"/>
        </w:rPr>
        <w:t>第三章</w:t>
      </w:r>
      <w:r>
        <w:rPr>
          <w:rFonts w:ascii="仿宋" w:hAnsi="仿宋" w:eastAsia="仿宋" w:cs="仿宋"/>
          <w:b/>
          <w:bCs/>
          <w:kern w:val="0"/>
          <w:sz w:val="28"/>
          <w:szCs w:val="28"/>
        </w:rPr>
        <w:t xml:space="preserve">  </w:t>
      </w:r>
      <w:r>
        <w:rPr>
          <w:rFonts w:hint="eastAsia" w:ascii="仿宋" w:hAnsi="仿宋" w:eastAsia="仿宋" w:cs="仿宋"/>
          <w:b/>
          <w:bCs/>
          <w:kern w:val="0"/>
          <w:sz w:val="28"/>
          <w:szCs w:val="28"/>
        </w:rPr>
        <w:t>评选办法和程序</w:t>
      </w:r>
    </w:p>
    <w:p>
      <w:pPr>
        <w:widowControl/>
        <w:spacing w:line="440" w:lineRule="exact"/>
        <w:ind w:firstLine="31680" w:firstLineChars="200"/>
        <w:jc w:val="left"/>
        <w:rPr>
          <w:rFonts w:ascii="仿宋" w:hAnsi="仿宋" w:eastAsia="仿宋" w:cs="仿宋"/>
          <w:kern w:val="0"/>
          <w:sz w:val="28"/>
          <w:szCs w:val="28"/>
        </w:rPr>
      </w:pPr>
      <w:r>
        <w:rPr>
          <w:rFonts w:hint="eastAsia" w:ascii="仿宋" w:hAnsi="仿宋" w:eastAsia="仿宋" w:cs="仿宋"/>
          <w:b/>
          <w:bCs/>
          <w:kern w:val="0"/>
          <w:sz w:val="28"/>
          <w:szCs w:val="28"/>
        </w:rPr>
        <w:t>第十一条</w:t>
      </w:r>
      <w:r>
        <w:rPr>
          <w:rFonts w:ascii="仿宋" w:hAnsi="仿宋" w:eastAsia="仿宋" w:cs="仿宋"/>
          <w:kern w:val="0"/>
          <w:sz w:val="28"/>
          <w:szCs w:val="28"/>
        </w:rPr>
        <w:t xml:space="preserve">  </w:t>
      </w:r>
      <w:r>
        <w:rPr>
          <w:rFonts w:hint="eastAsia" w:ascii="仿宋" w:hAnsi="仿宋" w:eastAsia="仿宋" w:cs="仿宋"/>
          <w:kern w:val="0"/>
          <w:sz w:val="28"/>
          <w:szCs w:val="28"/>
          <w:lang w:eastAsia="zh-CN"/>
        </w:rPr>
        <w:t>为确保</w:t>
      </w:r>
      <w:r>
        <w:rPr>
          <w:rFonts w:hint="eastAsia" w:ascii="仿宋" w:hAnsi="仿宋" w:eastAsia="仿宋" w:cs="仿宋"/>
          <w:kern w:val="0"/>
          <w:sz w:val="28"/>
          <w:szCs w:val="28"/>
        </w:rPr>
        <w:t>评选质量，申报材料务必真实有效。发现弄虚作假者，取消当事人参评资格，对已评上的撤消奖励，在全校范围内予以通报，并追究有关人员责任。</w:t>
      </w:r>
    </w:p>
    <w:p>
      <w:pPr>
        <w:widowControl/>
        <w:spacing w:line="440" w:lineRule="exact"/>
        <w:ind w:firstLine="31680" w:firstLineChars="200"/>
        <w:jc w:val="left"/>
        <w:rPr>
          <w:rFonts w:ascii="仿宋" w:hAnsi="仿宋" w:eastAsia="仿宋" w:cs="仿宋"/>
          <w:kern w:val="0"/>
          <w:sz w:val="28"/>
          <w:szCs w:val="28"/>
        </w:rPr>
      </w:pPr>
      <w:r>
        <w:rPr>
          <w:rFonts w:hint="eastAsia" w:ascii="仿宋" w:hAnsi="仿宋" w:eastAsia="仿宋" w:cs="仿宋"/>
          <w:b/>
          <w:bCs/>
          <w:kern w:val="0"/>
          <w:sz w:val="28"/>
          <w:szCs w:val="28"/>
        </w:rPr>
        <w:t>第十二条</w:t>
      </w:r>
      <w:r>
        <w:rPr>
          <w:rFonts w:ascii="仿宋" w:hAnsi="仿宋" w:eastAsia="仿宋" w:cs="仿宋"/>
          <w:kern w:val="0"/>
          <w:sz w:val="28"/>
          <w:szCs w:val="28"/>
        </w:rPr>
        <w:t xml:space="preserve">  </w:t>
      </w:r>
      <w:r>
        <w:rPr>
          <w:rFonts w:hint="eastAsia" w:ascii="仿宋" w:hAnsi="仿宋" w:eastAsia="仿宋" w:cs="仿宋"/>
          <w:kern w:val="0"/>
          <w:sz w:val="28"/>
          <w:szCs w:val="28"/>
        </w:rPr>
        <w:t>评选程序</w:t>
      </w:r>
    </w:p>
    <w:p>
      <w:pPr>
        <w:widowControl/>
        <w:spacing w:line="440" w:lineRule="exact"/>
        <w:ind w:firstLine="31680" w:firstLineChars="200"/>
        <w:jc w:val="left"/>
        <w:rPr>
          <w:rFonts w:hint="eastAsia" w:ascii="仿宋" w:hAnsi="仿宋" w:eastAsia="仿宋" w:cs="仿宋"/>
          <w:kern w:val="0"/>
          <w:sz w:val="28"/>
          <w:szCs w:val="28"/>
        </w:rPr>
      </w:pPr>
      <w:r>
        <w:rPr>
          <w:rFonts w:ascii="仿宋" w:hAnsi="仿宋" w:eastAsia="仿宋" w:cs="仿宋"/>
          <w:kern w:val="0"/>
          <w:sz w:val="28"/>
          <w:szCs w:val="28"/>
        </w:rPr>
        <w:t>1</w:t>
      </w:r>
      <w:r>
        <w:rPr>
          <w:rFonts w:ascii="仿宋" w:hAnsi="仿宋" w:eastAsia="仿宋" w:cs="仿宋"/>
          <w:kern w:val="0"/>
          <w:sz w:val="28"/>
          <w:szCs w:val="28"/>
          <w:lang w:val="zh-CN"/>
        </w:rPr>
        <w:t>.</w:t>
      </w:r>
      <w:r>
        <w:rPr>
          <w:rFonts w:hint="eastAsia" w:ascii="仿宋" w:hAnsi="仿宋" w:eastAsia="仿宋" w:cs="仿宋"/>
          <w:kern w:val="0"/>
          <w:sz w:val="28"/>
          <w:szCs w:val="28"/>
        </w:rPr>
        <w:t>成果的主要完成人申请并将申报材料上报所在二级学院；</w:t>
      </w:r>
    </w:p>
    <w:p>
      <w:pPr>
        <w:widowControl/>
        <w:spacing w:line="440" w:lineRule="exact"/>
        <w:ind w:firstLine="31680" w:firstLineChars="200"/>
        <w:jc w:val="left"/>
        <w:rPr>
          <w:rFonts w:hint="eastAsia" w:ascii="仿宋" w:hAnsi="仿宋" w:eastAsia="仿宋" w:cs="仿宋"/>
          <w:kern w:val="0"/>
          <w:sz w:val="28"/>
          <w:szCs w:val="28"/>
        </w:rPr>
      </w:pPr>
      <w:r>
        <w:rPr>
          <w:rFonts w:hint="eastAsia" w:ascii="仿宋" w:hAnsi="仿宋" w:eastAsia="仿宋" w:cs="仿宋"/>
          <w:kern w:val="0"/>
          <w:sz w:val="28"/>
          <w:szCs w:val="28"/>
        </w:rPr>
        <w:t>2</w:t>
      </w:r>
      <w:r>
        <w:rPr>
          <w:rFonts w:hint="eastAsia" w:ascii="仿宋" w:hAnsi="仿宋" w:eastAsia="仿宋" w:cs="仿宋"/>
          <w:kern w:val="0"/>
          <w:sz w:val="28"/>
          <w:szCs w:val="28"/>
          <w:lang w:val="zh-CN"/>
        </w:rPr>
        <w:t>.二级</w:t>
      </w:r>
      <w:r>
        <w:rPr>
          <w:rFonts w:hint="eastAsia" w:ascii="仿宋" w:hAnsi="仿宋" w:eastAsia="仿宋" w:cs="仿宋"/>
          <w:kern w:val="0"/>
          <w:sz w:val="28"/>
          <w:szCs w:val="28"/>
        </w:rPr>
        <w:t>学院教学工作指导委员会在认真审核材料真实性和对照评审条件的基础上，明确推荐意见，如期将相关材料报送教务处，逾期视为自动放弃申报资格；</w:t>
      </w:r>
    </w:p>
    <w:p>
      <w:pPr>
        <w:widowControl/>
        <w:spacing w:line="440" w:lineRule="exact"/>
        <w:ind w:firstLine="31680" w:firstLineChars="200"/>
        <w:jc w:val="left"/>
        <w:rPr>
          <w:rFonts w:ascii="仿宋" w:hAnsi="仿宋" w:eastAsia="仿宋" w:cs="仿宋"/>
          <w:kern w:val="0"/>
          <w:sz w:val="28"/>
          <w:szCs w:val="28"/>
        </w:rPr>
      </w:pPr>
      <w:r>
        <w:rPr>
          <w:rFonts w:hint="eastAsia" w:ascii="仿宋" w:hAnsi="仿宋" w:eastAsia="仿宋" w:cs="仿宋"/>
          <w:kern w:val="0"/>
          <w:sz w:val="28"/>
          <w:szCs w:val="28"/>
        </w:rPr>
        <w:t>3</w:t>
      </w:r>
      <w:r>
        <w:rPr>
          <w:rFonts w:hint="eastAsia" w:ascii="仿宋" w:hAnsi="仿宋" w:eastAsia="仿宋" w:cs="仿宋"/>
          <w:kern w:val="0"/>
          <w:sz w:val="28"/>
          <w:szCs w:val="28"/>
          <w:lang w:val="zh-CN"/>
        </w:rPr>
        <w:t>.</w:t>
      </w:r>
      <w:r>
        <w:rPr>
          <w:rFonts w:hint="eastAsia" w:ascii="仿宋" w:hAnsi="仿宋" w:eastAsia="仿宋" w:cs="仿宋"/>
          <w:kern w:val="0"/>
          <w:sz w:val="28"/>
          <w:szCs w:val="28"/>
        </w:rPr>
        <w:t>教务处组织专家组依据本办法对各学院上报的材料进行</w:t>
      </w:r>
      <w:r>
        <w:rPr>
          <w:rFonts w:hint="eastAsia" w:ascii="仿宋" w:hAnsi="仿宋" w:eastAsia="仿宋" w:cs="仿宋"/>
          <w:kern w:val="0"/>
          <w:sz w:val="28"/>
          <w:szCs w:val="28"/>
          <w:lang w:eastAsia="zh-CN"/>
        </w:rPr>
        <w:t>评审</w:t>
      </w:r>
      <w:r>
        <w:rPr>
          <w:rFonts w:hint="eastAsia" w:ascii="仿宋" w:hAnsi="仿宋" w:eastAsia="仿宋" w:cs="仿宋"/>
          <w:kern w:val="0"/>
          <w:sz w:val="28"/>
          <w:szCs w:val="28"/>
        </w:rPr>
        <w:t>，确定初选名单，上报校学校本科教学工作指导委员会</w:t>
      </w:r>
      <w:r>
        <w:rPr>
          <w:rFonts w:hint="eastAsia" w:ascii="仿宋" w:hAnsi="仿宋" w:eastAsia="仿宋" w:cs="仿宋"/>
          <w:kern w:val="0"/>
          <w:sz w:val="28"/>
          <w:szCs w:val="28"/>
          <w:lang w:eastAsia="zh-CN"/>
        </w:rPr>
        <w:t>审议</w:t>
      </w:r>
      <w:r>
        <w:rPr>
          <w:rFonts w:hint="eastAsia" w:ascii="仿宋" w:hAnsi="仿宋" w:eastAsia="仿宋" w:cs="仿宋"/>
          <w:kern w:val="0"/>
          <w:sz w:val="28"/>
          <w:szCs w:val="28"/>
        </w:rPr>
        <w:t>，以无记名投票方式表决，确定拟获奖名单，并在全校范围内予以公示，公示结束后报分管校长审核，校长办公会研究确定正式获奖名单，以学校文件公布后生效。</w:t>
      </w:r>
    </w:p>
    <w:p>
      <w:pPr>
        <w:widowControl/>
        <w:spacing w:line="440" w:lineRule="exact"/>
        <w:jc w:val="center"/>
        <w:outlineLvl w:val="1"/>
        <w:rPr>
          <w:rFonts w:ascii="仿宋" w:hAnsi="仿宋" w:eastAsia="仿宋" w:cs="仿宋"/>
          <w:b/>
          <w:bCs/>
          <w:kern w:val="0"/>
          <w:sz w:val="28"/>
          <w:szCs w:val="28"/>
        </w:rPr>
      </w:pPr>
      <w:r>
        <w:rPr>
          <w:rFonts w:hint="eastAsia" w:ascii="仿宋" w:hAnsi="仿宋" w:eastAsia="仿宋" w:cs="仿宋"/>
          <w:b/>
          <w:bCs/>
          <w:kern w:val="0"/>
          <w:sz w:val="28"/>
          <w:szCs w:val="28"/>
        </w:rPr>
        <w:t>第四章</w:t>
      </w:r>
      <w:r>
        <w:rPr>
          <w:rFonts w:ascii="仿宋" w:hAnsi="仿宋" w:eastAsia="仿宋" w:cs="仿宋"/>
          <w:b/>
          <w:bCs/>
          <w:kern w:val="0"/>
          <w:sz w:val="28"/>
          <w:szCs w:val="28"/>
        </w:rPr>
        <w:t xml:space="preserve">  </w:t>
      </w:r>
      <w:r>
        <w:rPr>
          <w:rFonts w:hint="eastAsia" w:ascii="仿宋" w:hAnsi="仿宋" w:eastAsia="仿宋" w:cs="仿宋"/>
          <w:b/>
          <w:bCs/>
          <w:kern w:val="0"/>
          <w:sz w:val="28"/>
          <w:szCs w:val="28"/>
        </w:rPr>
        <w:t>奖励办法</w:t>
      </w:r>
    </w:p>
    <w:p>
      <w:pPr>
        <w:widowControl/>
        <w:spacing w:line="440" w:lineRule="exact"/>
        <w:ind w:firstLine="31680" w:firstLineChars="200"/>
        <w:jc w:val="left"/>
        <w:rPr>
          <w:rFonts w:ascii="仿宋" w:hAnsi="仿宋" w:eastAsia="仿宋" w:cs="仿宋"/>
          <w:kern w:val="0"/>
          <w:sz w:val="28"/>
          <w:szCs w:val="28"/>
        </w:rPr>
      </w:pPr>
      <w:r>
        <w:rPr>
          <w:rFonts w:hint="eastAsia" w:ascii="仿宋" w:hAnsi="仿宋" w:eastAsia="仿宋" w:cs="仿宋"/>
          <w:b/>
          <w:bCs/>
          <w:kern w:val="0"/>
          <w:sz w:val="28"/>
          <w:szCs w:val="28"/>
        </w:rPr>
        <w:t>第十三条</w:t>
      </w:r>
      <w:r>
        <w:rPr>
          <w:rFonts w:ascii="仿宋" w:hAnsi="仿宋" w:eastAsia="仿宋" w:cs="仿宋"/>
          <w:kern w:val="0"/>
          <w:sz w:val="28"/>
          <w:szCs w:val="28"/>
        </w:rPr>
        <w:t xml:space="preserve">  </w:t>
      </w:r>
      <w:r>
        <w:rPr>
          <w:rFonts w:hint="eastAsia" w:ascii="仿宋" w:hAnsi="仿宋" w:eastAsia="仿宋" w:cs="仿宋"/>
          <w:kern w:val="0"/>
          <w:sz w:val="28"/>
          <w:szCs w:val="28"/>
        </w:rPr>
        <w:t>学校向获奖者颁发获奖证书，并给予特等奖</w:t>
      </w:r>
      <w:r>
        <w:rPr>
          <w:rFonts w:ascii="仿宋" w:hAnsi="仿宋" w:eastAsia="仿宋" w:cs="仿宋"/>
          <w:kern w:val="0"/>
          <w:sz w:val="28"/>
          <w:szCs w:val="28"/>
        </w:rPr>
        <w:t>2</w:t>
      </w:r>
      <w:r>
        <w:rPr>
          <w:rFonts w:hint="eastAsia" w:ascii="仿宋" w:hAnsi="仿宋" w:eastAsia="仿宋" w:cs="仿宋"/>
          <w:kern w:val="0"/>
          <w:sz w:val="28"/>
          <w:szCs w:val="28"/>
        </w:rPr>
        <w:t>万元、一等奖</w:t>
      </w:r>
      <w:r>
        <w:rPr>
          <w:rFonts w:ascii="仿宋" w:hAnsi="仿宋" w:eastAsia="仿宋" w:cs="仿宋"/>
          <w:kern w:val="0"/>
          <w:sz w:val="28"/>
          <w:szCs w:val="28"/>
        </w:rPr>
        <w:t>1</w:t>
      </w:r>
      <w:r>
        <w:rPr>
          <w:rFonts w:hint="eastAsia" w:ascii="仿宋" w:hAnsi="仿宋" w:eastAsia="仿宋" w:cs="仿宋"/>
          <w:kern w:val="0"/>
          <w:sz w:val="28"/>
          <w:szCs w:val="28"/>
        </w:rPr>
        <w:t>万元、二等奖</w:t>
      </w:r>
      <w:r>
        <w:rPr>
          <w:rFonts w:ascii="仿宋" w:hAnsi="仿宋" w:eastAsia="仿宋" w:cs="仿宋"/>
          <w:kern w:val="0"/>
          <w:sz w:val="28"/>
          <w:szCs w:val="28"/>
        </w:rPr>
        <w:t>0.5</w:t>
      </w:r>
      <w:r>
        <w:rPr>
          <w:rFonts w:hint="eastAsia" w:ascii="仿宋" w:hAnsi="仿宋" w:eastAsia="仿宋" w:cs="仿宋"/>
          <w:kern w:val="0"/>
          <w:sz w:val="28"/>
          <w:szCs w:val="28"/>
        </w:rPr>
        <w:t>万元奖励，</w:t>
      </w:r>
      <w:bookmarkStart w:id="0" w:name="_GoBack"/>
      <w:r>
        <w:rPr>
          <w:rFonts w:hint="eastAsia" w:ascii="仿宋" w:hAnsi="仿宋" w:eastAsia="仿宋" w:cs="仿宋"/>
          <w:kern w:val="0"/>
          <w:sz w:val="28"/>
          <w:szCs w:val="28"/>
          <w:lang w:eastAsia="zh-CN"/>
        </w:rPr>
        <w:t>纳入学校奖励性绩效总盘，</w:t>
      </w:r>
      <w:r>
        <w:rPr>
          <w:rFonts w:hint="eastAsia" w:ascii="仿宋" w:hAnsi="仿宋" w:eastAsia="仿宋" w:cs="仿宋"/>
          <w:sz w:val="28"/>
          <w:szCs w:val="28"/>
        </w:rPr>
        <w:t>奖金归获奖集体和个人所有。</w:t>
      </w:r>
    </w:p>
    <w:bookmarkEnd w:id="0"/>
    <w:p>
      <w:pPr>
        <w:widowControl/>
        <w:spacing w:line="440" w:lineRule="exact"/>
        <w:ind w:firstLine="31680" w:firstLineChars="200"/>
        <w:jc w:val="left"/>
        <w:rPr>
          <w:rFonts w:ascii="仿宋" w:hAnsi="仿宋" w:eastAsia="仿宋" w:cs="仿宋"/>
          <w:kern w:val="0"/>
          <w:sz w:val="28"/>
          <w:szCs w:val="28"/>
        </w:rPr>
      </w:pPr>
      <w:r>
        <w:rPr>
          <w:rFonts w:ascii="仿宋" w:hAnsi="仿宋" w:eastAsia="仿宋" w:cs="仿宋"/>
          <w:sz w:val="28"/>
          <w:szCs w:val="28"/>
        </w:rPr>
        <w:t> </w:t>
      </w:r>
      <w:r>
        <w:rPr>
          <w:rFonts w:hint="eastAsia" w:ascii="仿宋" w:hAnsi="仿宋" w:eastAsia="仿宋" w:cs="仿宋"/>
          <w:sz w:val="28"/>
          <w:szCs w:val="28"/>
        </w:rPr>
        <w:t>第十四条　个人获得教学成果奖</w:t>
      </w:r>
      <w:r>
        <w:rPr>
          <w:rFonts w:hint="eastAsia" w:ascii="仿宋" w:hAnsi="仿宋" w:eastAsia="仿宋" w:cs="仿宋"/>
          <w:kern w:val="0"/>
          <w:sz w:val="28"/>
          <w:szCs w:val="28"/>
        </w:rPr>
        <w:t>，应记入</w:t>
      </w:r>
      <w:r>
        <w:rPr>
          <w:rFonts w:hint="eastAsia" w:ascii="仿宋" w:hAnsi="仿宋" w:eastAsia="仿宋" w:cs="仿宋"/>
          <w:sz w:val="28"/>
          <w:szCs w:val="28"/>
        </w:rPr>
        <w:t>本人档案，作为岗位聘任、绩效考核、职务评聘的重要依据之一。</w:t>
      </w:r>
    </w:p>
    <w:p>
      <w:pPr>
        <w:widowControl/>
        <w:spacing w:line="440" w:lineRule="exact"/>
        <w:jc w:val="center"/>
        <w:outlineLvl w:val="1"/>
        <w:rPr>
          <w:rFonts w:ascii="仿宋" w:hAnsi="仿宋" w:eastAsia="仿宋" w:cs="仿宋"/>
          <w:b/>
          <w:bCs/>
          <w:kern w:val="0"/>
          <w:sz w:val="28"/>
          <w:szCs w:val="28"/>
        </w:rPr>
      </w:pPr>
      <w:r>
        <w:rPr>
          <w:rFonts w:hint="eastAsia" w:ascii="仿宋" w:hAnsi="仿宋" w:eastAsia="仿宋" w:cs="仿宋"/>
          <w:b/>
          <w:bCs/>
          <w:kern w:val="0"/>
          <w:sz w:val="28"/>
          <w:szCs w:val="28"/>
        </w:rPr>
        <w:t>第五章</w:t>
      </w:r>
      <w:r>
        <w:rPr>
          <w:rFonts w:ascii="仿宋" w:hAnsi="仿宋" w:eastAsia="仿宋" w:cs="仿宋"/>
          <w:b/>
          <w:bCs/>
          <w:kern w:val="0"/>
          <w:sz w:val="28"/>
          <w:szCs w:val="28"/>
        </w:rPr>
        <w:t xml:space="preserve">  </w:t>
      </w:r>
      <w:r>
        <w:rPr>
          <w:rFonts w:hint="eastAsia" w:ascii="仿宋" w:hAnsi="仿宋" w:eastAsia="仿宋" w:cs="仿宋"/>
          <w:b/>
          <w:bCs/>
          <w:kern w:val="0"/>
          <w:sz w:val="28"/>
          <w:szCs w:val="28"/>
        </w:rPr>
        <w:t>附</w:t>
      </w:r>
      <w:r>
        <w:rPr>
          <w:rFonts w:ascii="仿宋" w:hAnsi="仿宋" w:eastAsia="仿宋" w:cs="仿宋"/>
          <w:b/>
          <w:bCs/>
          <w:kern w:val="0"/>
          <w:sz w:val="28"/>
          <w:szCs w:val="28"/>
        </w:rPr>
        <w:t xml:space="preserve">  </w:t>
      </w:r>
      <w:r>
        <w:rPr>
          <w:rFonts w:hint="eastAsia" w:ascii="仿宋" w:hAnsi="仿宋" w:eastAsia="仿宋" w:cs="仿宋"/>
          <w:b/>
          <w:bCs/>
          <w:kern w:val="0"/>
          <w:sz w:val="28"/>
          <w:szCs w:val="28"/>
        </w:rPr>
        <w:t>则</w:t>
      </w:r>
    </w:p>
    <w:p>
      <w:pPr>
        <w:widowControl/>
        <w:spacing w:line="440" w:lineRule="exact"/>
        <w:ind w:firstLine="31680" w:firstLineChars="200"/>
        <w:jc w:val="left"/>
        <w:rPr>
          <w:rFonts w:ascii="仿宋" w:hAnsi="仿宋" w:eastAsia="仿宋" w:cs="仿宋"/>
          <w:kern w:val="0"/>
          <w:sz w:val="28"/>
          <w:szCs w:val="28"/>
        </w:rPr>
      </w:pPr>
      <w:r>
        <w:rPr>
          <w:rFonts w:hint="eastAsia" w:ascii="仿宋" w:hAnsi="仿宋" w:eastAsia="仿宋" w:cs="仿宋"/>
          <w:b/>
          <w:bCs/>
          <w:kern w:val="0"/>
          <w:sz w:val="28"/>
          <w:szCs w:val="28"/>
        </w:rPr>
        <w:t>第十五条</w:t>
      </w:r>
      <w:r>
        <w:rPr>
          <w:rFonts w:ascii="仿宋" w:hAnsi="仿宋" w:eastAsia="仿宋" w:cs="仿宋"/>
          <w:kern w:val="0"/>
          <w:sz w:val="28"/>
          <w:szCs w:val="28"/>
        </w:rPr>
        <w:t xml:space="preserve">  </w:t>
      </w:r>
      <w:r>
        <w:rPr>
          <w:rFonts w:hint="eastAsia" w:ascii="仿宋" w:hAnsi="仿宋" w:eastAsia="仿宋" w:cs="仿宋"/>
          <w:kern w:val="0"/>
          <w:sz w:val="28"/>
          <w:szCs w:val="28"/>
        </w:rPr>
        <w:t>本条例由教务处负责解释；如出现“以上”“不少于”等字样，如未特别说明均包含本数。</w:t>
      </w:r>
    </w:p>
    <w:p>
      <w:pPr>
        <w:widowControl/>
        <w:spacing w:line="440" w:lineRule="exact"/>
        <w:ind w:firstLine="31680" w:firstLineChars="200"/>
        <w:jc w:val="left"/>
        <w:rPr>
          <w:rFonts w:ascii="仿宋" w:hAnsi="仿宋" w:eastAsia="仿宋" w:cs="仿宋"/>
          <w:kern w:val="0"/>
          <w:sz w:val="28"/>
          <w:szCs w:val="28"/>
        </w:rPr>
      </w:pPr>
      <w:r>
        <w:rPr>
          <w:rFonts w:hint="eastAsia" w:ascii="仿宋" w:hAnsi="仿宋" w:eastAsia="仿宋" w:cs="仿宋"/>
          <w:b/>
          <w:bCs/>
          <w:kern w:val="0"/>
          <w:sz w:val="28"/>
          <w:szCs w:val="28"/>
        </w:rPr>
        <w:t>第十六条</w:t>
      </w:r>
      <w:r>
        <w:rPr>
          <w:rFonts w:ascii="仿宋" w:hAnsi="仿宋" w:eastAsia="仿宋" w:cs="仿宋"/>
          <w:kern w:val="0"/>
          <w:sz w:val="28"/>
          <w:szCs w:val="28"/>
        </w:rPr>
        <w:t xml:space="preserve">  </w:t>
      </w:r>
      <w:r>
        <w:rPr>
          <w:rFonts w:hint="eastAsia" w:ascii="仿宋" w:hAnsi="仿宋" w:eastAsia="仿宋" w:cs="仿宋"/>
          <w:kern w:val="0"/>
          <w:sz w:val="28"/>
          <w:szCs w:val="28"/>
        </w:rPr>
        <w:t>本办法自公布之日起执行。</w:t>
      </w:r>
    </w:p>
    <w:p>
      <w:pPr>
        <w:widowControl/>
        <w:spacing w:line="440" w:lineRule="exact"/>
        <w:jc w:val="both"/>
        <w:outlineLvl w:val="0"/>
        <w:rPr>
          <w:rFonts w:ascii="仿宋" w:hAnsi="仿宋" w:eastAsia="仿宋" w:cs="仿宋"/>
          <w:kern w:val="36"/>
          <w:sz w:val="28"/>
          <w:szCs w:val="28"/>
        </w:rPr>
      </w:pPr>
      <w:r>
        <w:rPr>
          <w:rFonts w:ascii="仿宋" w:hAnsi="仿宋" w:eastAsia="仿宋" w:cs="仿宋"/>
          <w:kern w:val="36"/>
          <w:sz w:val="28"/>
          <w:szCs w:val="28"/>
        </w:rPr>
        <w:t xml:space="preserve">                                  </w:t>
      </w:r>
    </w:p>
    <w:p>
      <w:pPr>
        <w:widowControl/>
        <w:spacing w:line="440" w:lineRule="exact"/>
        <w:jc w:val="both"/>
        <w:outlineLvl w:val="0"/>
        <w:rPr>
          <w:rFonts w:ascii="仿宋" w:hAnsi="仿宋" w:eastAsia="仿宋" w:cs="仿宋"/>
          <w:kern w:val="36"/>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华文楷体">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18"/>
                            </w:rPr>
                          </w:pPr>
                          <w:r>
                            <w:fldChar w:fldCharType="begin"/>
                          </w:r>
                          <w:r>
                            <w:instrText xml:space="preserve"> PAGE  \* MERGEFORMAT </w:instrText>
                          </w:r>
                          <w:r>
                            <w:fldChar w:fldCharType="separate"/>
                          </w:r>
                          <w:r>
                            <w:rPr>
                              <w:sz w:val="18"/>
                            </w:rPr>
                            <w:t>1</w:t>
                          </w:r>
                          <w:r>
                            <w:rPr>
                              <w:sz w:val="18"/>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3QW1FLgBAABXAwAADgAAAAAAAAABACAAAAAeAQAAZHJzL2Uyb0RvYy54bWxQSwUGAAAAAAYABgBZ&#10;AQAASAUAAAAA&#10;">
              <v:fill on="f" focussize="0,0"/>
              <v:stroke on="f"/>
              <v:imagedata o:title=""/>
              <o:lock v:ext="edit" aspectratio="f"/>
              <v:textbox inset="0mm,0mm,0mm,0mm" style="mso-fit-shape-to-text:t;">
                <w:txbxContent>
                  <w:p>
                    <w:pPr>
                      <w:snapToGrid w:val="0"/>
                      <w:rPr>
                        <w:sz w:val="18"/>
                      </w:rPr>
                    </w:pPr>
                    <w:r>
                      <w:fldChar w:fldCharType="begin"/>
                    </w:r>
                    <w:r>
                      <w:instrText xml:space="preserve"> PAGE  \* MERGEFORMAT </w:instrText>
                    </w:r>
                    <w: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D0D630"/>
    <w:multiLevelType w:val="singleLevel"/>
    <w:tmpl w:val="58D0D630"/>
    <w:lvl w:ilvl="0" w:tentative="0">
      <w:start w:val="1"/>
      <w:numFmt w:val="chineseCounting"/>
      <w:suff w:val="nothing"/>
      <w:lvlText w:val="第%1章"/>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4FDC"/>
    <w:rsid w:val="000D50A8"/>
    <w:rsid w:val="000E1A12"/>
    <w:rsid w:val="00154942"/>
    <w:rsid w:val="00172571"/>
    <w:rsid w:val="0025224E"/>
    <w:rsid w:val="002B236E"/>
    <w:rsid w:val="00317F64"/>
    <w:rsid w:val="003C3E59"/>
    <w:rsid w:val="003F32E0"/>
    <w:rsid w:val="0041651F"/>
    <w:rsid w:val="004D73B7"/>
    <w:rsid w:val="00507180"/>
    <w:rsid w:val="005407B7"/>
    <w:rsid w:val="005517C9"/>
    <w:rsid w:val="00557C8A"/>
    <w:rsid w:val="005847A9"/>
    <w:rsid w:val="00682EF6"/>
    <w:rsid w:val="006C7218"/>
    <w:rsid w:val="007A58F8"/>
    <w:rsid w:val="008070E4"/>
    <w:rsid w:val="00821068"/>
    <w:rsid w:val="008A04AF"/>
    <w:rsid w:val="009354F6"/>
    <w:rsid w:val="00953066"/>
    <w:rsid w:val="00974248"/>
    <w:rsid w:val="009F4A77"/>
    <w:rsid w:val="009F7D25"/>
    <w:rsid w:val="00A34FDC"/>
    <w:rsid w:val="00AB26CE"/>
    <w:rsid w:val="00AF676C"/>
    <w:rsid w:val="00B010E6"/>
    <w:rsid w:val="00B171F3"/>
    <w:rsid w:val="00B67862"/>
    <w:rsid w:val="00CF48A8"/>
    <w:rsid w:val="00DB5874"/>
    <w:rsid w:val="00E42646"/>
    <w:rsid w:val="00E51EB5"/>
    <w:rsid w:val="00E66A5A"/>
    <w:rsid w:val="00EC2D75"/>
    <w:rsid w:val="00FF7774"/>
    <w:rsid w:val="024D3BCA"/>
    <w:rsid w:val="02B7187D"/>
    <w:rsid w:val="04582411"/>
    <w:rsid w:val="04D06674"/>
    <w:rsid w:val="052A34D8"/>
    <w:rsid w:val="05395C97"/>
    <w:rsid w:val="05960CB3"/>
    <w:rsid w:val="07942F73"/>
    <w:rsid w:val="084A580B"/>
    <w:rsid w:val="09CC364C"/>
    <w:rsid w:val="0B6E56EC"/>
    <w:rsid w:val="0D5C76BB"/>
    <w:rsid w:val="0E3E4D81"/>
    <w:rsid w:val="0EE34333"/>
    <w:rsid w:val="11D739E0"/>
    <w:rsid w:val="12972DD1"/>
    <w:rsid w:val="135B5DC1"/>
    <w:rsid w:val="13896416"/>
    <w:rsid w:val="13D03442"/>
    <w:rsid w:val="143137A6"/>
    <w:rsid w:val="153E65CF"/>
    <w:rsid w:val="15943718"/>
    <w:rsid w:val="15D51A2B"/>
    <w:rsid w:val="167D782D"/>
    <w:rsid w:val="17946925"/>
    <w:rsid w:val="190043F0"/>
    <w:rsid w:val="19C362DB"/>
    <w:rsid w:val="19E82F46"/>
    <w:rsid w:val="1BA14309"/>
    <w:rsid w:val="1C2F7BB9"/>
    <w:rsid w:val="1CFF1954"/>
    <w:rsid w:val="1D22082E"/>
    <w:rsid w:val="1E5A233A"/>
    <w:rsid w:val="21B4080C"/>
    <w:rsid w:val="21D3460E"/>
    <w:rsid w:val="225D5923"/>
    <w:rsid w:val="22DE54AC"/>
    <w:rsid w:val="22F84BE9"/>
    <w:rsid w:val="2593240D"/>
    <w:rsid w:val="2771576D"/>
    <w:rsid w:val="27C06B53"/>
    <w:rsid w:val="28E12433"/>
    <w:rsid w:val="2976226E"/>
    <w:rsid w:val="2B122ACF"/>
    <w:rsid w:val="2C832827"/>
    <w:rsid w:val="2D715447"/>
    <w:rsid w:val="2FB87717"/>
    <w:rsid w:val="32361A40"/>
    <w:rsid w:val="36876035"/>
    <w:rsid w:val="36A737C6"/>
    <w:rsid w:val="36CB176B"/>
    <w:rsid w:val="379819BA"/>
    <w:rsid w:val="387A2E47"/>
    <w:rsid w:val="39363CD3"/>
    <w:rsid w:val="39BC2375"/>
    <w:rsid w:val="3AA97ED9"/>
    <w:rsid w:val="3AC9305F"/>
    <w:rsid w:val="3B0671C0"/>
    <w:rsid w:val="3B8B205D"/>
    <w:rsid w:val="3BD200B6"/>
    <w:rsid w:val="3BE21508"/>
    <w:rsid w:val="3C21375B"/>
    <w:rsid w:val="3CF876A9"/>
    <w:rsid w:val="3F7E54B6"/>
    <w:rsid w:val="3F9C7398"/>
    <w:rsid w:val="400A2D21"/>
    <w:rsid w:val="40157E01"/>
    <w:rsid w:val="41642EE8"/>
    <w:rsid w:val="43183FAC"/>
    <w:rsid w:val="44BB1881"/>
    <w:rsid w:val="455337E8"/>
    <w:rsid w:val="45994743"/>
    <w:rsid w:val="45F22EB3"/>
    <w:rsid w:val="46D11DA1"/>
    <w:rsid w:val="46EE7894"/>
    <w:rsid w:val="46FE0B0C"/>
    <w:rsid w:val="474A5481"/>
    <w:rsid w:val="4777662F"/>
    <w:rsid w:val="47B2546C"/>
    <w:rsid w:val="49B25DC8"/>
    <w:rsid w:val="4A4635C7"/>
    <w:rsid w:val="4B172950"/>
    <w:rsid w:val="4C9E7392"/>
    <w:rsid w:val="4CD164E0"/>
    <w:rsid w:val="4DBF0ABB"/>
    <w:rsid w:val="4E643DE7"/>
    <w:rsid w:val="5027301A"/>
    <w:rsid w:val="532439A8"/>
    <w:rsid w:val="54264F15"/>
    <w:rsid w:val="56D30408"/>
    <w:rsid w:val="578C6252"/>
    <w:rsid w:val="57B006DD"/>
    <w:rsid w:val="58D5225F"/>
    <w:rsid w:val="5E05392F"/>
    <w:rsid w:val="5E7058A1"/>
    <w:rsid w:val="5E8203A8"/>
    <w:rsid w:val="5F807DD9"/>
    <w:rsid w:val="601E4E14"/>
    <w:rsid w:val="6024729F"/>
    <w:rsid w:val="60B26793"/>
    <w:rsid w:val="60BE59D0"/>
    <w:rsid w:val="60C9031D"/>
    <w:rsid w:val="62492C6A"/>
    <w:rsid w:val="640E7917"/>
    <w:rsid w:val="671128FD"/>
    <w:rsid w:val="673C3B29"/>
    <w:rsid w:val="68644542"/>
    <w:rsid w:val="68D17FD9"/>
    <w:rsid w:val="68DF19F6"/>
    <w:rsid w:val="69072261"/>
    <w:rsid w:val="6B66648A"/>
    <w:rsid w:val="6C7033C8"/>
    <w:rsid w:val="6D625FCF"/>
    <w:rsid w:val="6DEC16B9"/>
    <w:rsid w:val="70B42264"/>
    <w:rsid w:val="70B63B02"/>
    <w:rsid w:val="715A28D9"/>
    <w:rsid w:val="71DF3A4D"/>
    <w:rsid w:val="72785CFB"/>
    <w:rsid w:val="72A23E8E"/>
    <w:rsid w:val="73C0305E"/>
    <w:rsid w:val="74356EBC"/>
    <w:rsid w:val="74835D4B"/>
    <w:rsid w:val="74900DA1"/>
    <w:rsid w:val="74D4508B"/>
    <w:rsid w:val="770C60CD"/>
    <w:rsid w:val="772C4E6B"/>
    <w:rsid w:val="77E67FE2"/>
    <w:rsid w:val="78220B61"/>
    <w:rsid w:val="7B087395"/>
    <w:rsid w:val="7C615AE1"/>
    <w:rsid w:val="7E5C6311"/>
    <w:rsid w:val="7EC04957"/>
    <w:rsid w:val="7F7F0E7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