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 w:ascii="黑体" w:hAnsi="黑体" w:eastAsia="黑体"/>
          <w:snapToGrid/>
          <w:color w:val="333333"/>
          <w:sz w:val="24"/>
          <w:szCs w:val="24"/>
        </w:rPr>
        <w:t>附件1</w:t>
      </w:r>
      <w:r>
        <w:rPr>
          <w:rFonts w:hint="eastAsia" w:ascii="黑体" w:hAnsi="黑体" w:eastAsia="黑体"/>
          <w:snapToGrid/>
          <w:color w:val="333333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4"/>
          <w:szCs w:val="24"/>
        </w:rPr>
        <w:t>　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电子档案载体标注内容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载体标识：全宗号—年度—载体顺序号。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载体盒</w:t>
      </w:r>
      <w:bookmarkStart w:id="0" w:name="_GoBack"/>
      <w:bookmarkEnd w:id="0"/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标注：全宗号、年度、载体顺序号、数据量、密级、保管期限、存入日期、运行环境、套别等。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1. 全宗号是档案馆分配给立档单位的编号；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2. 年度是该载体内档案起止年度如2001年至2006年即标定为2001/2006；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3. 载体顺序号是电子档案载体排列的顺序号，由阿拉伯数字组成；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4. 数据量是载体内档案存储容量；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5. 密级按存储在载体内电子档案的密级标注，保管期限按存储在载体内电子档案的保管期限标注；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6、存入日期是将电子档案拷贝至载体的日期，格式为年月日，如2011年2月8日即写为20110208；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7. 运行环境即识别或操作电子档案的软、硬件平台；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t>　　8. 套别是指档案馆存储电子档案载体的套号，用大写英文字母A、B、C表示。A表示封存保管，B表示查阅利用，C表示异地备份。</w:t>
      </w:r>
      <w:r>
        <w:rPr>
          <w:rFonts w:hint="eastAsia" w:asciiTheme="minorEastAsia" w:hAnsiTheme="minorEastAsia" w:eastAsiaTheme="minorEastAsia"/>
          <w:snapToGrid/>
          <w:color w:val="333333"/>
          <w:sz w:val="28"/>
          <w:szCs w:val="28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C24C8"/>
    <w:rsid w:val="19323579"/>
    <w:rsid w:val="1DAC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2018-01-09T03:23:00Z</dcterms:created>
  <dc:creator>芋儿</dc:creator>
  <cp:lastModifiedBy>芋儿</cp:lastModifiedBy>
  <dcterms:modified xsi:type="dcterms:W3CDTF">2018-01-09T03:23:46Z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