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line="23" w:lineRule="atLeast"/>
        <w:jc w:val="center"/>
        <w:rPr>
          <w:rStyle w:val="8"/>
          <w:b/>
          <w:sz w:val="32"/>
          <w:szCs w:val="32"/>
        </w:rPr>
      </w:pPr>
      <w:r>
        <w:rPr>
          <w:rStyle w:val="8"/>
          <w:rFonts w:hint="eastAsia"/>
          <w:b/>
          <w:sz w:val="32"/>
          <w:szCs w:val="32"/>
          <w:lang w:eastAsia="zh-CN"/>
        </w:rPr>
        <w:t>泉州师范学院</w:t>
      </w:r>
      <w:r>
        <w:rPr>
          <w:rStyle w:val="8"/>
          <w:b/>
          <w:sz w:val="32"/>
          <w:szCs w:val="32"/>
        </w:rPr>
        <w:t>美术与设计学院202</w:t>
      </w:r>
      <w:r>
        <w:rPr>
          <w:rStyle w:val="8"/>
          <w:rFonts w:hint="eastAsia"/>
          <w:b/>
          <w:sz w:val="32"/>
          <w:szCs w:val="32"/>
          <w:lang w:val="en-US" w:eastAsia="zh-CN"/>
        </w:rPr>
        <w:t>1</w:t>
      </w:r>
      <w:r>
        <w:rPr>
          <w:rStyle w:val="8"/>
          <w:b/>
          <w:sz w:val="32"/>
          <w:szCs w:val="32"/>
        </w:rPr>
        <w:t>年</w:t>
      </w:r>
    </w:p>
    <w:p>
      <w:pPr>
        <w:pStyle w:val="2"/>
        <w:widowControl/>
        <w:spacing w:line="23" w:lineRule="atLeast"/>
        <w:jc w:val="center"/>
        <w:rPr>
          <w:rFonts w:hint="default"/>
          <w:sz w:val="32"/>
          <w:szCs w:val="32"/>
        </w:rPr>
      </w:pPr>
      <w:r>
        <w:rPr>
          <w:rStyle w:val="8"/>
          <w:b/>
          <w:sz w:val="32"/>
          <w:szCs w:val="32"/>
        </w:rPr>
        <w:t>艺术硕士专业学位</w:t>
      </w:r>
      <w:r>
        <w:rPr>
          <w:rStyle w:val="8"/>
          <w:rFonts w:hint="eastAsia"/>
          <w:b/>
          <w:sz w:val="32"/>
          <w:szCs w:val="32"/>
          <w:lang w:eastAsia="zh-CN"/>
        </w:rPr>
        <w:t>研究生艺术设计</w:t>
      </w:r>
      <w:r>
        <w:rPr>
          <w:rStyle w:val="8"/>
          <w:rFonts w:hint="eastAsia"/>
          <w:b/>
          <w:sz w:val="32"/>
          <w:szCs w:val="32"/>
          <w:lang w:val="en-US" w:eastAsia="zh-CN"/>
        </w:rPr>
        <w:t>（视觉传达设计、环境设计方向）</w:t>
      </w:r>
      <w:r>
        <w:rPr>
          <w:rStyle w:val="8"/>
          <w:rFonts w:hint="eastAsia"/>
          <w:b/>
          <w:sz w:val="32"/>
          <w:szCs w:val="32"/>
          <w:lang w:eastAsia="zh-CN"/>
        </w:rPr>
        <w:t>第二次调剂</w:t>
      </w:r>
      <w:r>
        <w:rPr>
          <w:rStyle w:val="8"/>
          <w:b/>
          <w:sz w:val="32"/>
          <w:szCs w:val="32"/>
        </w:rPr>
        <w:t>拟录取名单公示</w:t>
      </w:r>
    </w:p>
    <w:p/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kern w:val="1"/>
          <w:sz w:val="32"/>
          <w:szCs w:val="32"/>
        </w:rPr>
        <w:t>根据《美术与设计学院202</w:t>
      </w:r>
      <w:r>
        <w:rPr>
          <w:rFonts w:hint="eastAsia" w:ascii="宋体" w:hAnsi="宋体" w:eastAsia="宋体" w:cs="宋体"/>
          <w:kern w:val="1"/>
          <w:sz w:val="32"/>
          <w:szCs w:val="32"/>
          <w:lang w:val="en-US" w:eastAsia="zh-CN"/>
        </w:rPr>
        <w:t>1</w:t>
      </w:r>
      <w:r>
        <w:rPr>
          <w:rFonts w:hint="eastAsia" w:ascii="宋体" w:hAnsi="宋体" w:eastAsia="宋体" w:cs="宋体"/>
          <w:kern w:val="1"/>
          <w:sz w:val="32"/>
          <w:szCs w:val="32"/>
        </w:rPr>
        <w:t>年艺术硕士学位研究生复试实施细则》</w:t>
      </w:r>
      <w:r>
        <w:rPr>
          <w:rFonts w:hint="eastAsia" w:ascii="宋体" w:hAnsi="宋体" w:eastAsia="宋体" w:cs="宋体"/>
          <w:sz w:val="32"/>
          <w:szCs w:val="32"/>
        </w:rPr>
        <w:t>规定，经学院组织复试，学院研究生复试领导工作小组审核，现将我院</w:t>
      </w:r>
      <w:r>
        <w:rPr>
          <w:rFonts w:hint="eastAsia" w:ascii="宋体" w:hAnsi="宋体" w:eastAsia="宋体" w:cs="宋体"/>
          <w:kern w:val="1"/>
          <w:sz w:val="32"/>
          <w:szCs w:val="32"/>
        </w:rPr>
        <w:t>202</w:t>
      </w:r>
      <w:r>
        <w:rPr>
          <w:rFonts w:hint="eastAsia" w:ascii="宋体" w:hAnsi="宋体" w:eastAsia="宋体" w:cs="宋体"/>
          <w:kern w:val="1"/>
          <w:sz w:val="32"/>
          <w:szCs w:val="32"/>
          <w:lang w:val="en-US" w:eastAsia="zh-CN"/>
        </w:rPr>
        <w:t>1</w:t>
      </w:r>
      <w:r>
        <w:rPr>
          <w:rFonts w:hint="eastAsia" w:ascii="宋体" w:hAnsi="宋体" w:eastAsia="宋体" w:cs="宋体"/>
          <w:kern w:val="1"/>
          <w:sz w:val="32"/>
          <w:szCs w:val="32"/>
        </w:rPr>
        <w:t>年艺术</w:t>
      </w:r>
      <w:r>
        <w:rPr>
          <w:rFonts w:hint="eastAsia" w:ascii="宋体" w:hAnsi="宋体" w:eastAsia="宋体" w:cs="宋体"/>
          <w:sz w:val="32"/>
          <w:szCs w:val="32"/>
        </w:rPr>
        <w:t>硕士专业学位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研究生艺术设计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（视觉传达设计、环境设计方向）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第二次调剂</w:t>
      </w:r>
      <w:r>
        <w:rPr>
          <w:rFonts w:hint="eastAsia" w:ascii="宋体" w:hAnsi="宋体" w:eastAsia="宋体" w:cs="宋体"/>
          <w:sz w:val="32"/>
          <w:szCs w:val="32"/>
        </w:rPr>
        <w:t>拟录取名单公示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(详见附件)。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此外，根据总成绩排名，拟定候补录取艺术设计（环境设计）考生 1 名，当拟录取名单中的考生放弃拟录取资格时，由该候补考生直接补录取（详见附件）。候补录取具有很大的不确定性，很可能出现候补不上的结果，请候补考生自愿和慎重地保留候补录取资格。因候补考生选择等待候补录取而导致丧失调剂机会的后果，由候补考生本人负责。</w:t>
      </w:r>
    </w:p>
    <w:p>
      <w:pPr>
        <w:pStyle w:val="5"/>
        <w:widowControl/>
        <w:spacing w:line="795" w:lineRule="exact"/>
      </w:pPr>
      <w:r>
        <w:rPr>
          <w:rFonts w:ascii="微软雅黑" w:hAnsi="宋体" w:eastAsia="微软雅黑" w:cs="微软雅黑"/>
          <w:kern w:val="1"/>
          <w:sz w:val="30"/>
          <w:szCs w:val="30"/>
        </w:rPr>
        <w:t>公示时间</w:t>
      </w:r>
      <w:r>
        <w:rPr>
          <w:rFonts w:hint="eastAsia" w:ascii="微软雅黑" w:hAnsi="宋体" w:eastAsia="微软雅黑" w:cs="微软雅黑"/>
          <w:kern w:val="1"/>
          <w:sz w:val="30"/>
          <w:szCs w:val="30"/>
        </w:rPr>
        <w:t>：</w:t>
      </w:r>
      <w:r>
        <w:rPr>
          <w:rFonts w:hint="eastAsia" w:ascii="微软雅黑" w:hAnsi="宋体" w:eastAsia="微软雅黑" w:cs="微软雅黑"/>
          <w:kern w:val="1"/>
          <w:sz w:val="30"/>
          <w:szCs w:val="30"/>
          <w:lang w:val="en-US" w:eastAsia="zh-CN"/>
        </w:rPr>
        <w:t>4</w:t>
      </w:r>
      <w:r>
        <w:rPr>
          <w:rFonts w:hint="eastAsia" w:ascii="微软雅黑" w:hAnsi="宋体" w:eastAsia="微软雅黑" w:cs="微软雅黑"/>
          <w:kern w:val="1"/>
          <w:sz w:val="30"/>
          <w:szCs w:val="30"/>
        </w:rPr>
        <w:t>月</w:t>
      </w:r>
      <w:r>
        <w:rPr>
          <w:rFonts w:hint="eastAsia" w:ascii="微软雅黑" w:hAnsi="宋体" w:eastAsia="微软雅黑" w:cs="微软雅黑"/>
          <w:kern w:val="1"/>
          <w:sz w:val="30"/>
          <w:szCs w:val="30"/>
          <w:lang w:val="en-US" w:eastAsia="zh-CN"/>
        </w:rPr>
        <w:t>16</w:t>
      </w:r>
      <w:r>
        <w:rPr>
          <w:rFonts w:hint="eastAsia" w:ascii="微软雅黑" w:hAnsi="宋体" w:eastAsia="微软雅黑" w:cs="微软雅黑"/>
          <w:kern w:val="1"/>
          <w:sz w:val="30"/>
          <w:szCs w:val="30"/>
        </w:rPr>
        <w:t>日—</w:t>
      </w:r>
      <w:r>
        <w:rPr>
          <w:rFonts w:hint="eastAsia" w:ascii="微软雅黑" w:hAnsi="宋体" w:eastAsia="微软雅黑" w:cs="微软雅黑"/>
          <w:kern w:val="1"/>
          <w:sz w:val="30"/>
          <w:szCs w:val="30"/>
          <w:lang w:val="en-US" w:eastAsia="zh-CN"/>
        </w:rPr>
        <w:t>4</w:t>
      </w:r>
      <w:r>
        <w:rPr>
          <w:rFonts w:hint="eastAsia" w:ascii="微软雅黑" w:hAnsi="宋体" w:eastAsia="微软雅黑" w:cs="微软雅黑"/>
          <w:kern w:val="1"/>
          <w:sz w:val="30"/>
          <w:szCs w:val="30"/>
        </w:rPr>
        <w:t>月</w:t>
      </w:r>
      <w:r>
        <w:rPr>
          <w:rFonts w:hint="eastAsia" w:ascii="微软雅黑" w:hAnsi="宋体" w:eastAsia="微软雅黑" w:cs="微软雅黑"/>
          <w:kern w:val="1"/>
          <w:sz w:val="30"/>
          <w:szCs w:val="30"/>
          <w:lang w:val="en-US" w:eastAsia="zh-CN"/>
        </w:rPr>
        <w:t>20</w:t>
      </w:r>
      <w:r>
        <w:rPr>
          <w:rFonts w:hint="eastAsia" w:ascii="微软雅黑" w:hAnsi="宋体" w:eastAsia="微软雅黑" w:cs="微软雅黑"/>
          <w:kern w:val="1"/>
          <w:sz w:val="30"/>
          <w:szCs w:val="30"/>
        </w:rPr>
        <w:t>日，公示期间如有异议请予以反馈。</w:t>
      </w:r>
    </w:p>
    <w:p>
      <w:pPr>
        <w:pStyle w:val="5"/>
        <w:widowControl/>
        <w:spacing w:line="795" w:lineRule="exact"/>
        <w:ind w:firstLine="540"/>
        <w:rPr>
          <w:rFonts w:hint="default" w:ascii="微软雅黑" w:hAnsi="宋体" w:eastAsia="微软雅黑" w:cs="微软雅黑"/>
          <w:kern w:val="1"/>
          <w:sz w:val="30"/>
          <w:szCs w:val="30"/>
          <w:lang w:val="en-US" w:eastAsia="zh-CN"/>
        </w:rPr>
      </w:pPr>
      <w:r>
        <w:rPr>
          <w:rFonts w:hint="eastAsia" w:ascii="微软雅黑" w:hAnsi="宋体" w:eastAsia="微软雅黑" w:cs="微软雅黑"/>
          <w:kern w:val="1"/>
          <w:sz w:val="30"/>
          <w:szCs w:val="30"/>
          <w:lang w:eastAsia="zh-CN"/>
        </w:rPr>
        <w:t>咨询电话：</w:t>
      </w:r>
      <w:r>
        <w:rPr>
          <w:rFonts w:hint="eastAsia" w:ascii="微软雅黑" w:hAnsi="宋体" w:eastAsia="微软雅黑" w:cs="微软雅黑"/>
          <w:kern w:val="1"/>
          <w:sz w:val="30"/>
          <w:szCs w:val="30"/>
          <w:lang w:val="en-US" w:eastAsia="zh-CN"/>
        </w:rPr>
        <w:t>0595-22912172</w:t>
      </w:r>
    </w:p>
    <w:p>
      <w:pPr>
        <w:pStyle w:val="5"/>
        <w:widowControl/>
        <w:spacing w:line="795" w:lineRule="exact"/>
        <w:ind w:firstLine="540"/>
      </w:pPr>
      <w:r>
        <w:rPr>
          <w:rFonts w:hint="eastAsia" w:ascii="微软雅黑" w:hAnsi="宋体" w:eastAsia="微软雅黑" w:cs="微软雅黑"/>
          <w:kern w:val="1"/>
          <w:sz w:val="30"/>
          <w:szCs w:val="30"/>
        </w:rPr>
        <w:t>监督电话：</w:t>
      </w:r>
      <w:r>
        <w:rPr>
          <w:rFonts w:hint="eastAsia" w:ascii="微软雅黑" w:hAnsi="宋体" w:eastAsia="微软雅黑" w:cs="微软雅黑"/>
          <w:kern w:val="1"/>
          <w:sz w:val="30"/>
          <w:szCs w:val="30"/>
          <w:lang w:val="en-US" w:eastAsia="zh-CN"/>
        </w:rPr>
        <w:t>0595-</w:t>
      </w:r>
      <w:r>
        <w:rPr>
          <w:rFonts w:hint="eastAsia" w:ascii="微软雅黑" w:hAnsi="宋体" w:eastAsia="微软雅黑" w:cs="微软雅黑"/>
          <w:kern w:val="1"/>
          <w:sz w:val="30"/>
          <w:szCs w:val="30"/>
        </w:rPr>
        <w:t>22917900（</w:t>
      </w:r>
      <w:r>
        <w:rPr>
          <w:rFonts w:hint="eastAsia" w:ascii="微软雅黑" w:hAnsi="宋体" w:eastAsia="微软雅黑" w:cs="微软雅黑"/>
          <w:kern w:val="1"/>
          <w:sz w:val="30"/>
          <w:szCs w:val="30"/>
          <w:lang w:eastAsia="zh-CN"/>
        </w:rPr>
        <w:t>院</w:t>
      </w:r>
      <w:r>
        <w:rPr>
          <w:rFonts w:hint="eastAsia" w:ascii="微软雅黑" w:hAnsi="宋体" w:eastAsia="微软雅黑" w:cs="微软雅黑"/>
          <w:kern w:val="1"/>
          <w:sz w:val="30"/>
          <w:szCs w:val="30"/>
        </w:rPr>
        <w:t>办公室）</w:t>
      </w:r>
    </w:p>
    <w:p>
      <w:pPr>
        <w:pStyle w:val="5"/>
        <w:widowControl/>
        <w:spacing w:line="795" w:lineRule="exact"/>
        <w:jc w:val="center"/>
        <w:rPr>
          <w:rFonts w:hint="default" w:eastAsia="微软雅黑"/>
          <w:lang w:val="en-US" w:eastAsia="zh-CN"/>
        </w:rPr>
      </w:pPr>
      <w:r>
        <w:rPr>
          <w:rFonts w:hint="eastAsia" w:ascii="微软雅黑" w:hAnsi="宋体" w:eastAsia="微软雅黑" w:cs="微软雅黑"/>
          <w:kern w:val="1"/>
          <w:sz w:val="30"/>
          <w:szCs w:val="30"/>
          <w:lang w:val="en-US" w:eastAsia="zh-CN"/>
        </w:rPr>
        <w:t xml:space="preserve">                   </w:t>
      </w:r>
      <w:r>
        <w:rPr>
          <w:rFonts w:hint="eastAsia" w:ascii="微软雅黑" w:hAnsi="宋体" w:eastAsia="微软雅黑" w:cs="微软雅黑"/>
          <w:kern w:val="1"/>
          <w:sz w:val="30"/>
          <w:szCs w:val="30"/>
        </w:rPr>
        <w:t>美术与设计学院</w:t>
      </w:r>
      <w:r>
        <w:rPr>
          <w:rFonts w:hint="eastAsia" w:ascii="微软雅黑" w:hAnsi="宋体" w:eastAsia="微软雅黑" w:cs="微软雅黑"/>
          <w:kern w:val="1"/>
          <w:sz w:val="30"/>
          <w:szCs w:val="30"/>
          <w:lang w:val="en-US" w:eastAsia="zh-CN"/>
        </w:rPr>
        <w:t>研究生复试工作领导小组</w:t>
      </w:r>
    </w:p>
    <w:p>
      <w:pPr>
        <w:pStyle w:val="5"/>
        <w:widowControl/>
        <w:spacing w:line="795" w:lineRule="exact"/>
        <w:ind w:firstLine="4500" w:firstLineChars="1500"/>
        <w:jc w:val="both"/>
        <w:rPr>
          <w:rFonts w:ascii="微软雅黑" w:hAnsi="宋体" w:eastAsia="微软雅黑" w:cs="微软雅黑"/>
          <w:kern w:val="1"/>
          <w:sz w:val="30"/>
          <w:szCs w:val="30"/>
        </w:rPr>
      </w:pPr>
      <w:r>
        <w:rPr>
          <w:rFonts w:hint="eastAsia" w:ascii="微软雅黑" w:hAnsi="宋体" w:eastAsia="微软雅黑" w:cs="微软雅黑"/>
          <w:kern w:val="1"/>
          <w:sz w:val="30"/>
          <w:szCs w:val="30"/>
        </w:rPr>
        <w:t>202</w:t>
      </w:r>
      <w:r>
        <w:rPr>
          <w:rFonts w:hint="eastAsia" w:ascii="微软雅黑" w:hAnsi="宋体" w:eastAsia="微软雅黑" w:cs="微软雅黑"/>
          <w:kern w:val="1"/>
          <w:sz w:val="30"/>
          <w:szCs w:val="30"/>
          <w:lang w:val="en-US" w:eastAsia="zh-CN"/>
        </w:rPr>
        <w:t>1</w:t>
      </w:r>
      <w:r>
        <w:rPr>
          <w:rFonts w:hint="eastAsia" w:ascii="微软雅黑" w:hAnsi="宋体" w:eastAsia="微软雅黑" w:cs="微软雅黑"/>
          <w:kern w:val="1"/>
          <w:sz w:val="30"/>
          <w:szCs w:val="30"/>
        </w:rPr>
        <w:t>年</w:t>
      </w:r>
      <w:r>
        <w:rPr>
          <w:rFonts w:hint="eastAsia" w:ascii="微软雅黑" w:hAnsi="宋体" w:eastAsia="微软雅黑" w:cs="微软雅黑"/>
          <w:kern w:val="1"/>
          <w:sz w:val="30"/>
          <w:szCs w:val="30"/>
          <w:lang w:val="en-US" w:eastAsia="zh-CN"/>
        </w:rPr>
        <w:t>4</w:t>
      </w:r>
      <w:r>
        <w:rPr>
          <w:rFonts w:hint="eastAsia" w:ascii="微软雅黑" w:hAnsi="宋体" w:eastAsia="微软雅黑" w:cs="微软雅黑"/>
          <w:kern w:val="1"/>
          <w:sz w:val="30"/>
          <w:szCs w:val="30"/>
        </w:rPr>
        <w:t>月</w:t>
      </w:r>
      <w:r>
        <w:rPr>
          <w:rFonts w:hint="eastAsia" w:ascii="微软雅黑" w:hAnsi="宋体" w:eastAsia="微软雅黑" w:cs="微软雅黑"/>
          <w:kern w:val="1"/>
          <w:sz w:val="30"/>
          <w:szCs w:val="30"/>
          <w:lang w:val="en-US" w:eastAsia="zh-CN"/>
        </w:rPr>
        <w:t>16</w:t>
      </w:r>
      <w:r>
        <w:rPr>
          <w:rFonts w:hint="eastAsia" w:ascii="微软雅黑" w:hAnsi="宋体" w:eastAsia="微软雅黑" w:cs="微软雅黑"/>
          <w:kern w:val="1"/>
          <w:sz w:val="30"/>
          <w:szCs w:val="30"/>
        </w:rPr>
        <w:t>日</w:t>
      </w:r>
      <w:bookmarkStart w:id="0" w:name="_GoBack"/>
      <w:bookmarkEnd w:id="0"/>
    </w:p>
    <w:p>
      <w:pPr>
        <w:pStyle w:val="2"/>
        <w:widowControl/>
        <w:spacing w:line="23" w:lineRule="atLeast"/>
        <w:jc w:val="center"/>
        <w:rPr>
          <w:rStyle w:val="8"/>
          <w:rFonts w:hint="eastAsia"/>
          <w:b/>
          <w:sz w:val="32"/>
          <w:szCs w:val="32"/>
          <w:lang w:val="en-US" w:eastAsia="zh-CN"/>
        </w:rPr>
      </w:pPr>
      <w:r>
        <w:rPr>
          <w:rFonts w:ascii="微软雅黑" w:eastAsia="微软雅黑" w:cs="微软雅黑"/>
          <w:kern w:val="1"/>
          <w:sz w:val="30"/>
          <w:szCs w:val="30"/>
        </w:rPr>
        <w:t>附件：</w:t>
      </w:r>
      <w:r>
        <w:rPr>
          <w:rStyle w:val="8"/>
          <w:rFonts w:hint="eastAsia"/>
          <w:b/>
          <w:sz w:val="32"/>
          <w:szCs w:val="32"/>
          <w:lang w:eastAsia="zh-CN"/>
        </w:rPr>
        <w:t>艺术设计</w:t>
      </w:r>
      <w:r>
        <w:rPr>
          <w:rStyle w:val="8"/>
          <w:rFonts w:hint="eastAsia"/>
          <w:b/>
          <w:sz w:val="32"/>
          <w:szCs w:val="32"/>
          <w:lang w:val="en-US" w:eastAsia="zh-CN"/>
        </w:rPr>
        <w:t>（视觉传达设计、环境设计方向）</w:t>
      </w:r>
    </w:p>
    <w:p>
      <w:pPr>
        <w:pStyle w:val="2"/>
        <w:widowControl/>
        <w:spacing w:line="23" w:lineRule="atLeast"/>
        <w:ind w:firstLine="1606" w:firstLineChars="500"/>
        <w:jc w:val="both"/>
        <w:rPr>
          <w:rFonts w:hint="default"/>
          <w:sz w:val="32"/>
          <w:szCs w:val="32"/>
        </w:rPr>
      </w:pPr>
      <w:r>
        <w:rPr>
          <w:rStyle w:val="8"/>
          <w:rFonts w:hint="eastAsia"/>
          <w:b/>
          <w:sz w:val="32"/>
          <w:szCs w:val="32"/>
          <w:lang w:eastAsia="zh-CN"/>
        </w:rPr>
        <w:t>第二次调剂</w:t>
      </w:r>
      <w:r>
        <w:rPr>
          <w:rStyle w:val="8"/>
          <w:b/>
          <w:sz w:val="32"/>
          <w:szCs w:val="32"/>
        </w:rPr>
        <w:t>拟录取名单公示</w:t>
      </w:r>
    </w:p>
    <w:tbl>
      <w:tblPr>
        <w:tblStyle w:val="6"/>
        <w:tblpPr w:leftFromText="180" w:rightFromText="180" w:vertAnchor="page" w:horzAnchor="page" w:tblpX="1418" w:tblpY="2863"/>
        <w:tblW w:w="978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0"/>
        <w:gridCol w:w="2016"/>
        <w:gridCol w:w="942"/>
        <w:gridCol w:w="2367"/>
        <w:gridCol w:w="713"/>
        <w:gridCol w:w="1275"/>
        <w:gridCol w:w="975"/>
        <w:gridCol w:w="97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</w:rPr>
              <w:t>序号</w:t>
            </w:r>
          </w:p>
        </w:tc>
        <w:tc>
          <w:tcPr>
            <w:tcW w:w="2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</w:rPr>
              <w:t>考生编号</w:t>
            </w:r>
          </w:p>
        </w:tc>
        <w:tc>
          <w:tcPr>
            <w:tcW w:w="9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</w:rPr>
              <w:t>姓名</w:t>
            </w:r>
          </w:p>
        </w:tc>
        <w:tc>
          <w:tcPr>
            <w:tcW w:w="23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</w:rPr>
              <w:t>方向</w:t>
            </w:r>
          </w:p>
        </w:tc>
        <w:tc>
          <w:tcPr>
            <w:tcW w:w="7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</w:rPr>
              <w:t>初试成绩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</w:rPr>
              <w:t>初试成绩</w:t>
            </w:r>
            <w:r>
              <w:rPr>
                <w:rFonts w:hint="eastAsia" w:ascii="仿宋" w:hAnsi="仿宋" w:eastAsia="仿宋" w:cs="Arial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Arial"/>
                <w:kern w:val="0"/>
                <w:sz w:val="24"/>
              </w:rPr>
              <w:t>百分制加权</w:t>
            </w:r>
          </w:p>
        </w:tc>
        <w:tc>
          <w:tcPr>
            <w:tcW w:w="9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</w:rPr>
              <w:t>复试成绩</w:t>
            </w:r>
          </w:p>
        </w:tc>
        <w:tc>
          <w:tcPr>
            <w:tcW w:w="9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</w:rPr>
              <w:t>总分   （加权）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</w:rPr>
              <w:t>1</w:t>
            </w:r>
          </w:p>
        </w:tc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103551280062043</w:t>
            </w: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Arial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胡筱萱</w:t>
            </w:r>
          </w:p>
        </w:tc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视觉传达设计</w:t>
            </w: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383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Arial"/>
                <w:kern w:val="0"/>
                <w:sz w:val="24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76.6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Arial"/>
                <w:kern w:val="0"/>
                <w:sz w:val="24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88.55 </w:t>
            </w:r>
          </w:p>
        </w:tc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82.58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</w:rPr>
              <w:t>2</w:t>
            </w:r>
          </w:p>
        </w:tc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102801210004959</w:t>
            </w: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Arial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吴倩</w:t>
            </w:r>
          </w:p>
        </w:tc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视觉传达设计</w:t>
            </w: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381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Arial"/>
                <w:kern w:val="0"/>
                <w:sz w:val="24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76.2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Arial"/>
                <w:kern w:val="0"/>
                <w:sz w:val="24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85.25 </w:t>
            </w:r>
          </w:p>
        </w:tc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Arial"/>
                <w:kern w:val="0"/>
                <w:sz w:val="24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80.73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Arial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  <w:highlight w:val="none"/>
                <w:lang w:val="en-US" w:eastAsia="zh-CN"/>
              </w:rPr>
              <w:t>3</w:t>
            </w:r>
          </w:p>
        </w:tc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highlight w:val="yellow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103551280123744</w:t>
            </w: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Arial"/>
                <w:color w:val="auto"/>
                <w:kern w:val="0"/>
                <w:sz w:val="22"/>
                <w:szCs w:val="22"/>
                <w:highlight w:val="yellow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李泳震</w:t>
            </w:r>
          </w:p>
        </w:tc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Arial"/>
                <w:color w:val="000000"/>
                <w:kern w:val="0"/>
                <w:sz w:val="22"/>
                <w:szCs w:val="22"/>
                <w:highlight w:val="yellow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视觉传达设计</w:t>
            </w: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highlight w:val="yellow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389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Arial"/>
                <w:kern w:val="0"/>
                <w:sz w:val="24"/>
                <w:highlight w:val="yellow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77.8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Arial"/>
                <w:kern w:val="0"/>
                <w:sz w:val="24"/>
                <w:highlight w:val="yellow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82.80 </w:t>
            </w:r>
          </w:p>
        </w:tc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Arial"/>
                <w:kern w:val="0"/>
                <w:sz w:val="24"/>
                <w:highlight w:val="yellow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80.30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Arial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103311210401931</w:t>
            </w: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Arial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杨鎏</w:t>
            </w:r>
          </w:p>
        </w:tc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环境设计</w:t>
            </w: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368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Arial"/>
                <w:kern w:val="0"/>
                <w:sz w:val="24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73.6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88.00 </w:t>
            </w:r>
          </w:p>
        </w:tc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80.80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Arial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  <w:highlight w:val="none"/>
                <w:lang w:val="en-US" w:eastAsia="zh-CN"/>
              </w:rPr>
              <w:t>5</w:t>
            </w:r>
          </w:p>
        </w:tc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highlight w:val="yellow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110781234514393</w:t>
            </w: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Arial"/>
                <w:color w:val="auto"/>
                <w:kern w:val="0"/>
                <w:sz w:val="22"/>
                <w:szCs w:val="22"/>
                <w:highlight w:val="yellow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代杉</w:t>
            </w:r>
          </w:p>
        </w:tc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Arial"/>
                <w:color w:val="000000"/>
                <w:kern w:val="0"/>
                <w:sz w:val="22"/>
                <w:szCs w:val="22"/>
                <w:highlight w:val="yellow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环境设计</w:t>
            </w: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highlight w:val="yellow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375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Arial"/>
                <w:kern w:val="0"/>
                <w:sz w:val="24"/>
                <w:highlight w:val="yellow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Arial"/>
                <w:kern w:val="0"/>
                <w:sz w:val="24"/>
                <w:highlight w:val="yellow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86.00 </w:t>
            </w:r>
          </w:p>
        </w:tc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Arial"/>
                <w:kern w:val="0"/>
                <w:sz w:val="24"/>
                <w:highlight w:val="yellow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80.50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Arial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  <w:lang w:val="en-US" w:eastAsia="zh-CN"/>
              </w:rPr>
              <w:t>6</w:t>
            </w:r>
          </w:p>
        </w:tc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103861101710706</w:t>
            </w: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Arial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尹玉慧</w:t>
            </w:r>
          </w:p>
        </w:tc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环境设计</w:t>
            </w: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368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Arial"/>
                <w:kern w:val="0"/>
                <w:sz w:val="24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73.6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87.00 </w:t>
            </w:r>
          </w:p>
        </w:tc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80.30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Arial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  <w:lang w:val="en-US" w:eastAsia="zh-CN"/>
              </w:rPr>
              <w:t>7</w:t>
            </w:r>
          </w:p>
        </w:tc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102951210309704</w:t>
            </w: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Arial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王伟俊</w:t>
            </w:r>
          </w:p>
        </w:tc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环境设计</w:t>
            </w: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368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Arial"/>
                <w:kern w:val="0"/>
                <w:sz w:val="24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73.6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Arial"/>
                <w:kern w:val="0"/>
                <w:sz w:val="24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83.50 </w:t>
            </w:r>
          </w:p>
        </w:tc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78.55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Arial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  <w:lang w:val="en-US" w:eastAsia="zh-CN"/>
              </w:rPr>
              <w:t>8</w:t>
            </w:r>
          </w:p>
        </w:tc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102801210005059</w:t>
            </w: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Arial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黄甜甜</w:t>
            </w:r>
          </w:p>
        </w:tc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环境设计</w:t>
            </w: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369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Arial"/>
                <w:kern w:val="0"/>
                <w:sz w:val="24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73.8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Arial"/>
                <w:kern w:val="0"/>
                <w:sz w:val="24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67.75 </w:t>
            </w:r>
          </w:p>
        </w:tc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Arial"/>
                <w:kern w:val="0"/>
                <w:sz w:val="24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70.78 </w:t>
            </w:r>
          </w:p>
        </w:tc>
      </w:tr>
    </w:tbl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b/>
          <w:color w:val="000000"/>
          <w:kern w:val="0"/>
          <w:sz w:val="31"/>
          <w:szCs w:val="3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rPr>
          <w:highlight w:val="none"/>
        </w:rPr>
      </w:pPr>
      <w:r>
        <w:rPr>
          <w:rFonts w:hint="eastAsia" w:ascii="宋体" w:hAnsi="宋体" w:eastAsia="宋体" w:cs="宋体"/>
          <w:b/>
          <w:color w:val="000000"/>
          <w:kern w:val="0"/>
          <w:sz w:val="31"/>
          <w:szCs w:val="31"/>
          <w:highlight w:val="none"/>
          <w:lang w:val="en-US" w:eastAsia="zh-CN" w:bidi="ar"/>
        </w:rPr>
        <w:t>艺术设计领域（环境设计方向）第二次调剂拟候补名单</w:t>
      </w:r>
    </w:p>
    <w:p>
      <w:pPr>
        <w:pStyle w:val="2"/>
        <w:widowControl/>
        <w:spacing w:line="23" w:lineRule="atLeast"/>
        <w:ind w:left="750" w:hanging="803" w:hangingChars="250"/>
        <w:jc w:val="center"/>
        <w:rPr>
          <w:rStyle w:val="8"/>
          <w:rFonts w:hint="eastAsia"/>
          <w:b/>
          <w:sz w:val="32"/>
          <w:szCs w:val="32"/>
          <w:highlight w:val="none"/>
          <w:lang w:eastAsia="zh-CN"/>
        </w:rPr>
      </w:pPr>
    </w:p>
    <w:tbl>
      <w:tblPr>
        <w:tblStyle w:val="6"/>
        <w:tblpPr w:leftFromText="180" w:rightFromText="180" w:vertAnchor="page" w:horzAnchor="page" w:tblpX="1487" w:tblpY="10382"/>
        <w:tblW w:w="952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0"/>
        <w:gridCol w:w="2016"/>
        <w:gridCol w:w="942"/>
        <w:gridCol w:w="1980"/>
        <w:gridCol w:w="725"/>
        <w:gridCol w:w="1162"/>
        <w:gridCol w:w="1075"/>
        <w:gridCol w:w="11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  <w:highlight w:val="none"/>
              </w:rPr>
              <w:t>序号</w:t>
            </w:r>
          </w:p>
        </w:tc>
        <w:tc>
          <w:tcPr>
            <w:tcW w:w="2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  <w:highlight w:val="none"/>
              </w:rPr>
              <w:t>考生编号</w:t>
            </w:r>
          </w:p>
        </w:tc>
        <w:tc>
          <w:tcPr>
            <w:tcW w:w="9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  <w:highlight w:val="none"/>
              </w:rPr>
              <w:t>姓名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  <w:highlight w:val="none"/>
              </w:rPr>
              <w:t>方向</w:t>
            </w:r>
          </w:p>
        </w:tc>
        <w:tc>
          <w:tcPr>
            <w:tcW w:w="7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  <w:highlight w:val="none"/>
              </w:rPr>
              <w:t>初试成绩</w:t>
            </w:r>
          </w:p>
        </w:tc>
        <w:tc>
          <w:tcPr>
            <w:tcW w:w="11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  <w:highlight w:val="none"/>
              </w:rPr>
              <w:t>初试成绩</w:t>
            </w:r>
            <w:r>
              <w:rPr>
                <w:rFonts w:hint="eastAsia" w:ascii="仿宋" w:hAnsi="仿宋" w:eastAsia="仿宋" w:cs="Arial"/>
                <w:kern w:val="0"/>
                <w:sz w:val="24"/>
                <w:highlight w:val="none"/>
              </w:rPr>
              <w:br w:type="textWrapping"/>
            </w:r>
            <w:r>
              <w:rPr>
                <w:rFonts w:hint="eastAsia" w:ascii="仿宋" w:hAnsi="仿宋" w:eastAsia="仿宋" w:cs="Arial"/>
                <w:kern w:val="0"/>
                <w:sz w:val="24"/>
                <w:highlight w:val="none"/>
              </w:rPr>
              <w:t>百分制加权</w:t>
            </w:r>
          </w:p>
        </w:tc>
        <w:tc>
          <w:tcPr>
            <w:tcW w:w="10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  <w:highlight w:val="none"/>
              </w:rPr>
              <w:t>复试成绩</w:t>
            </w:r>
          </w:p>
        </w:tc>
        <w:tc>
          <w:tcPr>
            <w:tcW w:w="1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  <w:highlight w:val="none"/>
              </w:rPr>
              <w:t>总分   （加权）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  <w:highlight w:val="none"/>
              </w:rPr>
              <w:t>1</w:t>
            </w:r>
          </w:p>
        </w:tc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102921211002466</w:t>
            </w: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吴琦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Arial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环境设计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369</w:t>
            </w:r>
          </w:p>
        </w:tc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Arial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73.8</w:t>
            </w: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Arial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66.00 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Arial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69.90 </w:t>
            </w:r>
          </w:p>
        </w:tc>
      </w:tr>
    </w:tbl>
    <w:p>
      <w:pPr>
        <w:rPr>
          <w:rFonts w:hint="eastAsia"/>
          <w:highlight w:val="yellow"/>
          <w:lang w:eastAsia="zh-CN"/>
        </w:rPr>
      </w:pPr>
    </w:p>
    <w:p>
      <w:pPr>
        <w:rPr>
          <w:rFonts w:hint="eastAsia"/>
          <w:highlight w:val="yellow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default"/>
        </w:rPr>
      </w:pPr>
    </w:p>
    <w:p>
      <w:pPr>
        <w:pStyle w:val="2"/>
        <w:widowControl/>
        <w:spacing w:line="23" w:lineRule="atLeast"/>
        <w:jc w:val="center"/>
        <w:rPr>
          <w:rStyle w:val="8"/>
          <w:rFonts w:hint="default"/>
          <w:b/>
          <w:sz w:val="32"/>
          <w:szCs w:val="32"/>
        </w:r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8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6633477F"/>
    <w:rsid w:val="000A1A90"/>
    <w:rsid w:val="000F2C1E"/>
    <w:rsid w:val="00144B26"/>
    <w:rsid w:val="001C3D21"/>
    <w:rsid w:val="00272454"/>
    <w:rsid w:val="002D6D7A"/>
    <w:rsid w:val="003D4932"/>
    <w:rsid w:val="00401CD0"/>
    <w:rsid w:val="0042448A"/>
    <w:rsid w:val="005F0259"/>
    <w:rsid w:val="00694FB7"/>
    <w:rsid w:val="00715332"/>
    <w:rsid w:val="00813B9D"/>
    <w:rsid w:val="008A22F8"/>
    <w:rsid w:val="009460A0"/>
    <w:rsid w:val="00947054"/>
    <w:rsid w:val="009B5BE0"/>
    <w:rsid w:val="00A03D98"/>
    <w:rsid w:val="00A15CF7"/>
    <w:rsid w:val="00A17DA5"/>
    <w:rsid w:val="00AF46DE"/>
    <w:rsid w:val="00B37465"/>
    <w:rsid w:val="00BD2A2A"/>
    <w:rsid w:val="00C03090"/>
    <w:rsid w:val="00C23C75"/>
    <w:rsid w:val="00D10C44"/>
    <w:rsid w:val="00D24F66"/>
    <w:rsid w:val="00DB7585"/>
    <w:rsid w:val="00DD3FAC"/>
    <w:rsid w:val="00E5230C"/>
    <w:rsid w:val="00EC777A"/>
    <w:rsid w:val="00F434A1"/>
    <w:rsid w:val="00FD0535"/>
    <w:rsid w:val="00FF4D5F"/>
    <w:rsid w:val="04370A37"/>
    <w:rsid w:val="077B2DDA"/>
    <w:rsid w:val="08013687"/>
    <w:rsid w:val="0A171CB6"/>
    <w:rsid w:val="1AA37CFE"/>
    <w:rsid w:val="20B36D52"/>
    <w:rsid w:val="219B5987"/>
    <w:rsid w:val="2465524F"/>
    <w:rsid w:val="26612B8A"/>
    <w:rsid w:val="28633CF4"/>
    <w:rsid w:val="302B2407"/>
    <w:rsid w:val="398F1FD5"/>
    <w:rsid w:val="3B156D78"/>
    <w:rsid w:val="3DF042AD"/>
    <w:rsid w:val="4DAA5AFA"/>
    <w:rsid w:val="55F213C9"/>
    <w:rsid w:val="5FE2309D"/>
    <w:rsid w:val="6633477F"/>
    <w:rsid w:val="6CE33B9F"/>
    <w:rsid w:val="6D9B2A8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