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84" w:tblpY="1803"/>
        <w:tblOverlap w:val="never"/>
        <w:tblW w:w="90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5023"/>
        <w:gridCol w:w="1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904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泉州师范学院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专业技术人员继续教育网络培训课程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经管类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（90学时）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十九大报告的重大理论创新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个人职业道德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中国教育制度改革及其发展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校园安全与突发事件处理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表达的艺术——如何设计吸引人的PPT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懂心理学营造健康的人际关系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（90学时）</w:t>
            </w: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十九大报告的重大理论创新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校园安全与突发事件处理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个人职业道德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表达的艺术——如何设计吸引人的PPT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发展文化产业的几个基本问题（二）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发展文化产业的几个基本问题（一）</w:t>
            </w:r>
          </w:p>
        </w:tc>
        <w:tc>
          <w:tcPr>
            <w:tcW w:w="19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restart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（90学时）</w:t>
            </w:r>
          </w:p>
        </w:tc>
        <w:tc>
          <w:tcPr>
            <w:tcW w:w="5023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十九大报告的重大理论创新</w:t>
            </w:r>
          </w:p>
        </w:tc>
        <w:tc>
          <w:tcPr>
            <w:tcW w:w="197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新时代中国特色社会主义的战略安排</w:t>
            </w:r>
          </w:p>
        </w:tc>
        <w:tc>
          <w:tcPr>
            <w:tcW w:w="197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校园安全与突发事件处理</w:t>
            </w:r>
          </w:p>
        </w:tc>
        <w:tc>
          <w:tcPr>
            <w:tcW w:w="197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个人职业道德</w:t>
            </w:r>
          </w:p>
        </w:tc>
        <w:tc>
          <w:tcPr>
            <w:tcW w:w="197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表达的艺术——如何设计吸引人的PPT</w:t>
            </w:r>
          </w:p>
        </w:tc>
        <w:tc>
          <w:tcPr>
            <w:tcW w:w="1977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2045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3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数字图像处理（上）</w:t>
            </w:r>
          </w:p>
        </w:tc>
        <w:tc>
          <w:tcPr>
            <w:tcW w:w="1977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9045" w:type="dxa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1.经管类：校部机关、图书馆、马克思主义学院、政发学院、外国语学院、工商学院、教科学院、体育学院、继教学院。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2.艺术类：文传学院、纺服学院、音舞学院、美设学院。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3.工学类：网络信息中心、物信学院、数计学院、资环学院、海洋学院、化工学院、应科技（航海）学院。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34061"/>
    <w:rsid w:val="0FB34061"/>
    <w:rsid w:val="2CE6158E"/>
    <w:rsid w:val="50F200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